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AC/2338/2013 vom 25. Oktober 2013</w:t>
      </w:r>
    </w:p>
    <w:p>
      <w:r>
        <w:t>GE Cour de justice, 2013-10-25, FR</w:t>
      </w:r>
    </w:p>
    <w:p>
      <w:r>
        <w:rPr>
          <w:b/>
        </w:rPr>
        <w:t xml:space="preserve">Quelle: </w:t>
      </w:r>
      <w:r>
        <w:t>https://mcp.opencaselaw.ch/entscheid/ge_gerichte_AC_2338_2013</w:t>
      </w:r>
    </w:p>
    <w:p>
      <w:r>
        <w:t>FR: GE_GERICHTE AC/2338/2013 du 25 octobre 2013</w:t>
      </w:r>
    </w:p>
    <w:p>
      <w:r>
        <w:t>IT: GE_GERICHTE AC/2338/2013 del 25 ottobre 2013</w:t>
      </w:r>
    </w:p>
    <w:p>
      <w:pPr>
        <w:pStyle w:val="Heading2"/>
      </w:pPr>
      <w:r>
        <w:t>Regeste</w:t>
      </w:r>
    </w:p>
    <w:p>
      <w:r>
        <w:t>DÉNUEMENT; FORTUNE IMMOBILIÈRE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Comme il a été jugé en matière d'assistance judiciaire (ATF 138 III 163 ), la requête de provisio ad litem suspend le délai imparti pour payer l'avance de frais judiciaires et, en cas de rejet de cette requête, le tribunal doit accorder un délai supplémentaire pour effectuer cette avance (ATF 138 III 672 consid. 4.2.1).</w:t>
      </w:r>
    </w:p>
    <w:p>
      <w:r>
        <w:rPr>
          <w:b/>
        </w:rPr>
        <w:t>E. 2.2</w:t>
      </w:r>
    </w:p>
    <w:p>
      <w:r>
        <w:t>En l'espèce, compte tenu des principes rappelés ci-dessus, le premier juge pouvait, sans consacrer d'arbitraire, considérer que les montants que la recourante perçoit de son mari pour les loisirs et autres dépenses personnelles de la famille pouvaient être mis à contribution pour faire face à ses frais de justice. Cela étant, le premier juge a, à tort, retenu que le montant versé à la recourante pour les loisirs et dépenses personnelles s'élevait à 8'377 fr., alors qu'il résulte des pièces produites que son mari s'est engagé à lui verser mensuellement 6'300 fr. environ pendant les trois premières années de séparation du couple, ce qui porte le disponible mensuel du ménage de la recourante à 2'520 fr. (6'300 fr. – 3'780 fr.). S'il est vrai que le disponible mensuel de la recourante ne lui permet pas de s'acquitter en une fois des frais d'introduction prévisibles de sa demande en divorce, il n'en demeure pas moins que sa requête de provisio ad litem suspend automatiquement le délai pour payer lesdits frais. Par ailleurs, même dans l'hypothèse où sa demande de provisio ad litem devrait être rejetée par le Tribunal, la situation financière de la recourante n'est pas compatible avec la notion d'indigence, au vu de l'importante fortune mobilière et immobilière des époux. Même si, selon les déclarations de la recourante, son mari refuse de lui fournir des moyens financiers suffisants pour agir en justice, celle-ci a la possibilité de constituer une hypothèque sur l'appartement enregistré à son nom à B______, dont il n'a pas été allégué qu'il serait hypothéqué à son maximum. Par ailleurs, la recourante n'ayant pas démontré la nécessité de disposer d'un véhicule d'une valeur de plus de 56'000 fr., il peut être exigé d'elle qu'elle se dessaisisse de celui-ci. Compte tenu de ce qui précède, le premier juge a, à juste titre, refusé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25 octobre 2013 par la Vice-présidente du Tribunal civil dans la cause AC/2338/2013. Au fond : Le rejette. Déboute A______ de toutes autres conclusions. Dit qu'il n'est pas perçu de frais judiciaires, ni alloué de dépens. Notifie une copie de la présente décision à A______ en l'Etude de M e Brigitte BESSON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