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AC/2331/2010 vom 13. Januar 2016</w:t>
      </w:r>
    </w:p>
    <w:p>
      <w:r>
        <w:t>GE Cour de justice, 2016-01-13, FR</w:t>
      </w:r>
    </w:p>
    <w:p>
      <w:r>
        <w:rPr>
          <w:b/>
        </w:rPr>
        <w:t xml:space="preserve">Quelle: </w:t>
      </w:r>
      <w:r>
        <w:t>https://mcp.opencaselaw.ch/entscheid/ge_gerichte_AC_2331_2010</w:t>
      </w:r>
    </w:p>
    <w:p>
      <w:r>
        <w:t>FR: GE_GERICHTE AC/2331/2010 du 13 janvier 2016</w:t>
      </w:r>
    </w:p>
    <w:p>
      <w:r>
        <w:t>IT: GE_GERICHTE AC/2331/2010 del 13 gennaio 2016</w:t>
      </w:r>
    </w:p>
    <w:p>
      <w:pPr>
        <w:pStyle w:val="Heading2"/>
      </w:pPr>
      <w:r>
        <w:t>Regeste</w:t>
      </w:r>
    </w:p>
    <w:p>
      <w:r>
        <w:t>FICTION DE LA NOTIFICATION; CONDITION DE RECEVABILITÉ</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134 V 49 consid. 4; 130 III 396 consid. 1.2.3).</w:t>
      </w:r>
    </w:p>
    <w:p>
      <w:r>
        <w:rPr>
          <w:b/>
        </w:rPr>
        <w:t>E. 1.3</w:t>
      </w:r>
    </w:p>
    <w:p>
      <w:r>
        <w:t>En l'espèce, la décision entreprise a été communiquée par pli recommandé du 15 janvier 2016. La recourante devait s'attendre à recevoir la décision litigieuse, laquelle faisait suite aux demandes répétées du greffe d'Assistance juridique tendant à actualiser sa situation financière en vue d'une éventuelle demande de remboursement, la recourante ayant par ailleurs donné suite à ces requêtes par envois des 16 décembre 2015 et 2 janvier 2016. En conséquence, la décision querellée est réputée avoir été valablement notifiée à l'échéance du délai de sept jours suivant l'échec de la remise (16 janvier 2016), soit le 23 janvier 2016. Le délai de recours de 10 jours a ainsi commencé à courir le 24 janvier 2016 et est arrivé à échéance le 2 février 2016. Partant, le recours interjeté le 12 février 2016 est tardif, de sorte qu'il sera déclaré irrecevable.</w:t>
      </w:r>
    </w:p>
    <w:p>
      <w:r>
        <w:rPr>
          <w:b/>
        </w:rPr>
        <w:t>E. 2</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13 janvier 2016 par le Vice-président du Tribunal civil dans la cause AC/2331/2010.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