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AC/2330/2019 vom 9. August 2019</w:t>
      </w:r>
    </w:p>
    <w:p>
      <w:r>
        <w:t>GE Cour de justice, 2019-08-09, FR</w:t>
      </w:r>
    </w:p>
    <w:p>
      <w:r>
        <w:rPr>
          <w:b/>
        </w:rPr>
        <w:t xml:space="preserve">Quelle: </w:t>
      </w:r>
      <w:r>
        <w:t>https://mcp.opencaselaw.ch/entscheid/ge_gerichte_AC_2330_2019</w:t>
      </w:r>
    </w:p>
    <w:p>
      <w:r>
        <w:t>FR: GE_GERICHTE AC/2330/2019 du 9 août 2019</w:t>
      </w:r>
    </w:p>
    <w:p>
      <w:r>
        <w:t>IT: GE_GERICHTE AC/2330/2019 del 9 agosto 2019</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3.3</w:t>
      </w:r>
    </w:p>
    <w:p>
      <w:r>
        <w:t>3.3.1. Le 1 er janvier 2019, la loi fédérale sur les étrangers du 16 décembre 2005 (LEtr - RS 142.20) a connu une modification partielle comprenant également un changement de sa dénomination (modification de la LEtr du 16 décembre 2016). Ainsi, la LEtr s'intitule nouvellement la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3.3.2</w:t>
      </w:r>
    </w:p>
    <w:p>
      <w:r>
        <w:t>En l'absence de disposition transitoire et dans la mesure où dans le cas particulier, l'application du nouveau droit ne conduirait pas à une issue différente de l'examen de l'affaire sous l'angle des anciennes dispositions, il y a lieu d'appliquer la LEtr dans sa teneur en vigueur jusqu'au 31 décembre 2018 (ATF 135 II 384 consid. 2.3). Cela étant, la chambre de céans, à l'instar du Tribunal fédéral, dénommera ci-après LEI les dispositions qui n'ont pas changé au 1 er janvier 2019 et « ancien art. LEtr » dans le cas contraire (arrêts du Tribunal fédéral 2C_1133/2018 du 18 février 2019 consid. 5; 2C_1151/2018 du 15 janvier 2019 consid. 6.1). Quant à l'OASA et/ou l'OEI, elles seront citées dans leur teneur en vigueur jusqu'au 31 décembre 2018.</w:t>
      </w:r>
    </w:p>
    <w:p>
      <w:r>
        <w:rPr>
          <w:b/>
        </w:rPr>
        <w:t>E. 3.3.3</w:t>
      </w:r>
    </w:p>
    <w:p>
      <w:r>
        <w:t>L'art. 30 al. 1 let. b LEI permet de déroger aux conditions d'admission en Suisse, telles que prévues aux art. 18 à 29 LEI, notamment aux fins de tenir compte des cas individuels d'une extrême gravité ou d'intérêts publics majeurs.</w:t>
      </w:r>
    </w:p>
    <w:p>
      <w:r>
        <w:rPr>
          <w:b/>
        </w:rPr>
        <w:t>E. 3.3.4</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Secrétariat d'État aux migrations, domaine des étrangers, 2013, état au 12 avril 2017, ch. 5.6.12 [ci-après : directives SEM])</w:t>
      </w:r>
    </w:p>
    <w:p>
      <w:r>
        <w:rPr>
          <w:b/>
        </w:rPr>
        <w:t>E. 3.3.5</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arrêts du Tribunal administratif fédéral [ci-après : TAF] C-5414/2013 du 30 juin 2015 consid. 5.1.4; C-6379/2012 et C-6377/2012 du 17 novembre 2014 consid. 4.3; C-1240/2012 du 24 juillet 2014 consid. 5.3; ATA/353/2019 du 2 avril 2019 consid. 5d; ATA/38/2019 du 15 janvier 2019 consid. 4d).</w:t>
      </w:r>
    </w:p>
    <w:p>
      <w:r>
        <w:rPr>
          <w:b/>
        </w:rPr>
        <w:t>E. 3.3.6</w:t>
      </w:r>
    </w:p>
    <w:p>
      <w:r>
        <w:t>L'opération Papyrus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https://www.ge.ch/regulariser-mon-statut-sejour-cadre-papyrus/criteres-respecter, consulté le 24 septembre 2019 :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le séjour doit être documenté; - faire preuve d'une intégration réussie (minimum niveau A2 de français du cadre européen commun de référence pour les langues et scolarisation des enfants notamment); - absence de condamnation pénale (autre que séjour illégal). Le livret précise en outre que les dossiers de régularisation déposés jusqu'au 31 décembre 2018 seront instruits selon les critères précités et la pratique mise en oeuvre dans le cadre du projet pilote Papyrus.</w:t>
      </w:r>
    </w:p>
    <w:p>
      <w:r>
        <w:rPr>
          <w:b/>
        </w:rPr>
        <w:t>E. 3.3.7</w:t>
      </w:r>
    </w:p>
    <w:p>
      <w:r>
        <w:t>Répondant le 9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(https://www.parlament.ch/fr/ratsbetrieb/suche-curia-vista/geschaeft?AffairId=20175000, consulté le 24 septembre 2019).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ATA/1000/2019 du 11 juin 2019 consid. 5b et les arrêts cités).</w:t>
      </w:r>
    </w:p>
    <w:p>
      <w:r>
        <w:rPr>
          <w:b/>
        </w:rPr>
        <w:t>E. 3.3.8</w:t>
      </w:r>
    </w:p>
    <w:p>
      <w:r>
        <w:t>Dans sa jurisprudence consécutive à l'opération Papyrus, la chambre administrative a retenu qu'il n'y avait aucune raison que les personnes étrangères ayant été détentrices d'un permis ou d'une carte de légitimation pour une partie de leur séjour en Suisse soient prétéritées par rapport aux personnes ayant toujours été en situation illégale ( ATA/1187/2018 du 6 novembre 2018 consid. 4c; ATA/208/2018 du 6 mars 2018 consid. 9c; ATA/37/2018 du 16 janvier 2018 consid. 9; ATA/465/2017 du 25 avril 2017 consid. 11).</w:t>
      </w:r>
    </w:p>
    <w:p>
      <w:r>
        <w:rPr>
          <w:b/>
        </w:rPr>
        <w:t>E. 3.3.9</w:t>
      </w:r>
    </w:p>
    <w:p>
      <w:r>
        <w:t>En l'espèce, au vu de la jurisprudence de la chambre administrative précitée, il semble que les personnes étrangères ayant été détentrices d'un permis ou d'une carte de légitimation pour une partie de leur séjour en Suisse puissent se prévaloir de l'opération Papyrus. L'arrêt cité dans la décision attaquée ( ATA/38/2019 du 15 janvier 2019) laisse ouverte la question de savoir si l'opération Papyrus est applicable à une ressortissante bolivienne qui, au moment du dépôt de sa demande de régularisation, bénéficiait d'un titre de séjour valable en Espagne. L'arrêt précité ne revient pas sur la jurisprudence telle que rappelée ci-dessus. Cela dit et malgré cette considération, le recourant, majeur au moment du dépôt du formulaire Papyrus, paraît ne pas remplir certains critères pour pouvoir bénéficier de cette opération. En effet, selon la décision de l'OCPM du 9 mai 2019, le recourant travaillerait en tant que déménageur sur appel. Or, dans le formulaire de demande d'assistance juridique et à la question de savoir s'il exerçait une activité professionnelle, le recourant a coché la case « non ». De plus, il a précisé être « à la charge de [son] père dont [il] dépend entièrement financièrement ». Ainsi et pour autant que l'opération Papyrus lui soit applicable, le recourant ne semble pas remplir les critères relatifs à l'exercice d'un emploi et à celui de l'indépendance financière. Il ne pourrait donc pas se prévaloir de cette opération pour obtenir une autorisation de séjour. En outre, et dans la mesure où l'opération Papyrus constitue une concrétisation des critères légaux en vigueur pour l'examen des cas individuels d'extrême gravité, il est également a priori douteux que le recourant puisse obtenir une autorisation de séjour dans le cadre de cet examen. En effet, la durée de son séjour en Suisse devrait être relativisée puisqu'il a été uniquement toléré à la suite du dépôt de la demande de regroupement familial définitivement refusée par arrêt du Tribunal fédéral du 2 juillet 2018. Enfin, l'intéressé semble avoir conservé des liens personnels avec son pays d'origine à travers sa mère et sa grand-mère qui vivent au Sénégal. Il y a lui-même par ailleurs vécu durant son enfance et le début de son adolescence. Compte tenu de ce qui précède, la décision du Vice-président du Tribunal civil du 9 août 2019 doit donc être confirmée par substitution de motifs.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9 août 2019 par le Vice-président du Tribunal civil dans la cause AC/2330/2019.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