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AC/2330/2015 vom 11. August 2015</w:t>
      </w:r>
    </w:p>
    <w:p>
      <w:r>
        <w:t>GE Cour de justice, 2015-08-11, FR</w:t>
      </w:r>
    </w:p>
    <w:p>
      <w:r>
        <w:rPr>
          <w:b/>
        </w:rPr>
        <w:t xml:space="preserve">Quelle: </w:t>
      </w:r>
      <w:r>
        <w:t>https://mcp.opencaselaw.ch/entscheid/ge_gerichte_AC_2330_2015</w:t>
      </w:r>
    </w:p>
    <w:p>
      <w:r>
        <w:t>FR: GE_GERICHTE AC/2330/2015 du 11 août 2015</w:t>
      </w:r>
    </w:p>
    <w:p>
      <w:r>
        <w:t>IT: GE_GERICHTE AC/2330/2015 del 11 agosto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a été interjeté dans le délai utile et en la forme écrite prescrite par la loi. Il comporte une motivation certes succincte, mais suffisante dans la mesure où l'on comprend les griefs en fait et en droit soulevés par la recourante contre le jugement entrepris. Par ailleurs, si la recourante n'a pas pris de conclusion formelle, on comprend qu'elle sollicite l'annulation de la décision querellée.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et les pièces nouvelles ne seront pas pris en considération.</w:t>
      </w:r>
    </w:p>
    <w:p>
      <w:r>
        <w:rPr>
          <w:b/>
        </w:rPr>
        <w:t>E. 3</w:t>
      </w:r>
    </w:p>
    <w:p>
      <w:r>
        <w:t>La recourante soutient que le montant retenu pour sa rente AI est erroné. Par ailleurs, elle reproche au Vice-président du Tribunal civil d'avoir pris en compte la rente AI de son mari, alors que qu'il en a besoin pour son activité indépendante. En outre, l'ensemble des charges liées à l'activité indépendante de celui-ci n'ont pas été prises en considération.![endif]&gt;![if&gt;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w:t>
      </w:r>
    </w:p>
    <w:p>
      <w:r>
        <w:rPr>
          <w:b/>
        </w:rPr>
        <w:t>E. 3.2</w:t>
      </w:r>
    </w:p>
    <w:p>
      <w:r>
        <w:t>En l'espèce, compte tenu des pièces produites, c'est à juste titre que le premier juge a retenu que la rente AI de la recourante s'élevait à 2'082 fr. Par ailleurs, c'est à juste titre que la rente AI du mari de la recourante a été prise en considération dans les revenus du ménage. Pour le surplus, les charges de l'entreprise individuelle de celui-ci ne peuvent pas être prises en compte telles quelles dans les charges du ménage. Même si l'on tenait compte du résultat réalisé par ladite entreprise en 2014, soit une perte de 1'932 fr. (montant retenu par l'Administration fiscale), ce qui correspond à un montant mensuel de 161 fr., cela porterait les charges du ménage à 6'296 fr. 05 (6'135 fr. 05 + 161 fr.). Le ménage de la recourante dépasserait encore de plus de 620 fr. (6'919 fr. 15 – 6'296 fr. 05) le minimum vital. Par conséquent, compte tenu des faits portés à sa connaissance et des éléments en sa possession, c'est à bon droit que le premier juge a considéré que la condition de l'indigence n'était pas remplie. Partant, le recours, infondé, sera rejeté. Cela étant, la recourante a la possibilité de déposer une nouvelle requête d'assistance juridique, accompagnée de toutes les pièces justificatives relatives à sa situation financière, notamment la preuve de la diminution de sa rente AI.</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11 août 2015 par le Vice-président du Tribunal civil dans la cause AC/2330/2015.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