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AC/2329/2016 vom 19. Oktober 2016</w:t>
      </w:r>
    </w:p>
    <w:p>
      <w:r>
        <w:t>GE Cour de justice, 2016-10-19, FR</w:t>
      </w:r>
    </w:p>
    <w:p>
      <w:r>
        <w:rPr>
          <w:b/>
        </w:rPr>
        <w:t xml:space="preserve">Quelle: </w:t>
      </w:r>
      <w:r>
        <w:t>https://mcp.opencaselaw.ch/entscheid/ge_gerichte_AC_2329_2016</w:t>
      </w:r>
    </w:p>
    <w:p>
      <w:r>
        <w:t>FR: GE_GERICHTE AC/2329/2016 du 19 octobre 2016</w:t>
      </w:r>
    </w:p>
    <w:p>
      <w:r>
        <w:t>IT: GE_GERICHTE AC/2329/2016 del 19 ottobre 2016</w:t>
      </w:r>
    </w:p>
    <w:p>
      <w:pPr>
        <w:pStyle w:val="Heading2"/>
      </w:pPr>
      <w:r>
        <w:t>Regeste</w:t>
      </w:r>
    </w:p>
    <w:p>
      <w:r>
        <w:t>REPRÉSENTATION EN PROCÉDURE ; AVOCAT D'OFFICE ; PROCÉDURE ADMINISTRATIVE | LP.278; LP.17</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(arrêt du Tribunal fédéral 4A_454/2008 du 1 er décembre 2008 consid. 4.2).</w:t>
      </w:r>
    </w:p>
    <w:p>
      <w:r>
        <w:rPr>
          <w:b/>
        </w:rPr>
        <w:t>E. 2.2</w:t>
      </w:r>
    </w:p>
    <w:p>
      <w:r>
        <w:t>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celle des mesures proprement dites d'exécution du séquestre prévues aux art. 92 à 109 LP, applicables par analogie en vertu du renvoi prévu à l'art. 275 LP. Les griefs concernant les conditions de fond du séquestre doivent donc être soulevés dans la procédure d'opposition et ceux concernant l'exécution du séquestre dans la procédure de plainte (ATF 142 III 291 consid. 2.1 ; 129 III 203 consid. 2.2 et 2.3; arrêts du Tribunal fédéral 5A_947/2012 du 14 mai 2013 consid. 4.1 ; 5A_925/2012 du 5 avril 2013 consid. 4.2 et 4.3; 5A_812/2010 du 24 novembre 2011 consid. 3.2.2, publié in Pra 2012 (78) p. 531; 7B.207/2005 du 29 novembre 2005 consid. 2.3.3). Selon la jurisprudence du Tribunal fédéral, le point de savoir si un droit patrimonial peut être ou non séquestré au regard de l'art. 92 LP (applicable par renvoi de l'art. 275 LP) ressortit à la plainte (art. 17 LP), et non à l'opposition (ATF 142 III 291 consid. 2.1 ; 129 III 203 consid. 2.2 et 2.3 ; arrêts du Tribunal fédéral 5A_938/2015 du 10 mars 2016 consid. 4.2.1 ; 5A_389/2014 consid. 3.2). 3.2. Le Tribunal fédéral est l’autorité judiciaire suprême de la Confédération (art. 188 al. 1 Constitution fédérale de la Confédération suisse du 18 avril 1999 ; RS 101). Dès lors que sa jurisprudence en matière de voie de recours contre une ordonnance de séquestre est bien établie, il est certain que le Tribunal de première instance en fera application, même si certains auteurs de doctrine ont émis des avis divergents en la matière. La recourante s’opposant au séquestre de ses avoirs au motif que ceux-ci sont insaisissables, c’est à bon droit que le Vice-président du Tribunal civil a refusé d’octroyer l’assistance juridique à la recourante pour former une opposition à séquestre dès lors que cette voie de droit paraissait dépourvue de chances de succès. Partant, le recours, infondé, sera rejeté.</w:t>
      </w:r>
    </w:p>
    <w:p>
      <w:r>
        <w:rPr>
          <w:b/>
        </w:rPr>
        <w:t>E. 3</w:t>
      </w:r>
    </w:p>
    <w:p>
      <w:r>
        <w:t>Sauf exceptions non réalisées en l'espèce, il n'est pas perçu de frais judiciaires pour la procédure d'assistance juridique (art. 119 al. 6 CPC). Par ailleurs, vu l'issue du recours, il n'y a pas lieu d'octroyer des dépens, étant rappelé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le 1 er novembre 2016 par A______ contre la décision rendue le 19 octobre 2016 par le Vice-président du Tribunal civil dans la cause AC/2329/2016. Au fond : Le rejette. Déboute A______ de toutes autres conclusions. Dit qu'il n'est pas perçu de frais judiciaires pour le recours. Notifie une copie de la présente décision à A______ en l'Étude de M e Philippe CURRAT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