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AC/2309/2017 vom 7. August 2017</w:t>
      </w:r>
    </w:p>
    <w:p>
      <w:r>
        <w:t>GE Cour de justice, 2017-08-07, FR</w:t>
      </w:r>
    </w:p>
    <w:p>
      <w:r>
        <w:rPr>
          <w:b/>
        </w:rPr>
        <w:t xml:space="preserve">Quelle: </w:t>
      </w:r>
      <w:r>
        <w:t>https://mcp.opencaselaw.ch/entscheid/ge_gerichte_AC_2309_2017</w:t>
      </w:r>
    </w:p>
    <w:p>
      <w:r>
        <w:t>FR: GE_GERICHTE AC/2309/2017 du 7 août 2017</w:t>
      </w:r>
    </w:p>
    <w:p>
      <w:r>
        <w:t>IT: GE_GERICHTE AC/2309/2017 del 7 agosto 2017</w:t>
      </w:r>
    </w:p>
    <w:p>
      <w:pPr>
        <w:pStyle w:val="Heading2"/>
      </w:pPr>
      <w:r>
        <w:t>Regeste</w:t>
      </w:r>
    </w:p>
    <w:p>
      <w:r>
        <w:t>BAIL À LOYER ; CHANCES DE SUCCÈS ; PROCÉDURE DE CONCILIATION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Le recours est recevable pour avoir été interjeté dans le délai utile et en la forme écrite prescrite par la loi. Bien qu’il contienne à deux reprises des conclusions tendant à ce que le bénéfice de l’assistance juridique lui soit accordé « pour le présent recours », l'autorité de céans comprend que la recourante désire obtenir le bénéfice de l’assistance juridique tant pour le présent recours que pour la procédure pour laquelle elle l’a sollicité devant le premier juge. Il sera donc entré en matière sur ces deux conclusions.</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Il faut en outre que l'assistance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 123 I 145 consid. 2b/cc ; 122 I 49 consid. 2c/bb ;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 Un défenseur d’office peut aussi être désigné pour la procédure de conciliation selon les art. 197 ss. CPC, si le litige le justifie. Les critères sont cependant appliqués plus strictement, les circonstances du cas concret demeurant déterminantes à cet égard (arrêt du Tribunal fédéral 5A_395/2012 du 16 juillet 2012 consid. 4.4.2). Il est exclu de refuser en principe la désignation d'un avocat d'office dans les procédures de conciliation en matière de bail (JdT 1994 I 603 consid. 4c). 3.1.3. Le bailleur est tenu de délivrer la chose dans un état approprié à l'usage pour lequel elle a été louée, et de l'entretenir en cet état (art. 256 al. 1 CO). En vertu de l'art.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BOHNET/CARRON/MONTINI, Droit du bail à loyer et à ferme, Bâle, 2017, n. 14 ad art. 259a CO; LACHAT, Le bail à loyer, Lausanne, 2008, p. 248).</w:t>
      </w:r>
    </w:p>
    <w:p>
      <w:r>
        <w:rPr>
          <w:b/>
        </w:rPr>
        <w:t>E. 3.2</w:t>
      </w:r>
    </w:p>
    <w:p>
      <w:r>
        <w:t>En l'espèce, s’il est vrai que l’autorité de conciliation donne des conseils juridiques aux parties dans les litiges relatifs aux baux et loyers (cf. art. 202 al. 1 CPC), il résulte de la jurisprudence que cela n’exclut pas d’emblée tout droit à l’assistance juridique. Le seul fait que la partie adverse soit représentée par une régie lors de l’audience de conciliation ne justifie pas à lui seul la nomination d'un avocat. La procédure devant la CCBL étant soumise à la maxime inquisitoriale, il faut encore que des circonstances particulières du cas d'espèce recommandent la nomination d'un avocat. Certes, la recourante a été en mesure de dénoncer les défauts de son appartement au bailleur et d’en réclamer la réfection. Il ne ressort toutefois pas du dossier qu’elle disposait des connaissances juridiques nécessaires pour se déterminer – au stade de l’audience de conciliation déjà – sur le montant de la réduction de loyer qui serait éventuellement justifié au regard des défauts qu’elle invoque, la notion de défaut étant elle-même sujette à interprétation. Au vu du caractère technique et juridique du litige, l’assistance d’un avocat apparaît ainsi nécessaire pour permettre à la recourante de défendre utilement son point de vue lors de l’audience de conciliation et, le cas échéant, de donner en toute connaissance de cause son accord à la solution qui pourrait y être trouvée. Partant, le recours sera admis. La décision querellée sera annulée et la cause renvoyée à l’autorité de première instance pour nouvelle décision, après examen de la condition d’indigence et des chances de succès. Pour le surplus, l'instance de recours n'est pas compétente pour statuer sur la requête d'assistance juridique formée par la recourante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