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AC/2224/2020 vom 22. Oktober 2020</w:t>
      </w:r>
    </w:p>
    <w:p>
      <w:r>
        <w:t>GE Cour de justice, 2020-10-22, FR</w:t>
      </w:r>
    </w:p>
    <w:p>
      <w:r>
        <w:rPr>
          <w:b/>
        </w:rPr>
        <w:t xml:space="preserve">Quelle: </w:t>
      </w:r>
      <w:r>
        <w:t>https://mcp.opencaselaw.ch/entscheid/ge_gerichte_AC_2224_2020</w:t>
      </w:r>
    </w:p>
    <w:p>
      <w:r>
        <w:t>FR: GE_GERICHTE AC/2224/2020 du 22 octobre 2020</w:t>
      </w:r>
    </w:p>
    <w:p>
      <w:r>
        <w:t>IT: GE_GERICHTE AC/2224/2020 del 22 ottobre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5A_556/2014 du 4 mars 2015 consid. 3.1).</w:t>
      </w:r>
    </w:p>
    <w:p>
      <w:r>
        <w:rPr>
          <w:b/>
        </w:rPr>
        <w:t>E. 3.1.2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w:t>
      </w:r>
    </w:p>
    <w:p>
      <w:r>
        <w:rPr>
          <w:b/>
        </w:rPr>
        <w:t>E. 3.1.3</w:t>
      </w:r>
    </w:p>
    <w:p>
      <w:r>
        <w:t>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5D_83/2020 du 28 octobre 2020 consid. 5.3.3; 4D_22/2020 du 29 juin 2020 consid. 4.2.2; 5A_181/2019 du 27 mai 2019 consid. 3.1.2). Le devoir du juge, déduit de l'art. 56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5A_502/2017 du 15 août 2017 consid 3.2).</w:t>
      </w:r>
    </w:p>
    <w:p>
      <w:r>
        <w:rPr>
          <w:b/>
        </w:rPr>
        <w:t>E. 3.2</w:t>
      </w:r>
    </w:p>
    <w:p>
      <w:r>
        <w:t>En l'espèce, le recourant, concernant les chances de succès de la procédure pour laquelle il demande l'assistance juridique, se limite à renvoyer à son écriture de demande en paiement et à un courrier postérieur à la décision entreprise, lequel est donc irrecevable. Il s'ensuit qu'en l'absence de toute pièce justifiant la prétention du recourant - outre sa propre écriture de demande -, l'autorité précédente a à bon droit considéré qu'elle n'était pas en mesure de se prononcer sur les chances de succès de ses démarches. Sur ce point déjà la décision entreprise est justifiée.</w:t>
      </w:r>
    </w:p>
    <w:p>
      <w:r>
        <w:rPr>
          <w:b/>
        </w:rPr>
        <w:t>E. 3.3</w:t>
      </w:r>
    </w:p>
    <w:p>
      <w:r>
        <w:t>A titre superfétatoire, il sera relevé les points suivants en relation avec la question de l'indigence. Le recourant invoque avoir obtenu l'assistance judiciaire dans le canton de Vaud et avoir pu oublier certaines pièces en raison de difficultés rencontrées dans l'Etude de son conseil. Il invoque, sans la motiver, une violation du droit d'être entendu. Le recourant reproche aussi à l'autorité précédente de s'être trop focalisée sur des décomptes bancaires de son entreprise, alors qu'il admet que son compte privé, ainsi que celui de son épouse, étaient plus représentatifs, bien qu'il se soit abstenu de communiquer ces pièces à l'autorité précédente. Au vu du courrier de demande de renseignements détaillé envoyé par l'autorité précédente, le recourant, qui n'y a donné suite que de manière partielle, ne peut pas se plaindre d'une violation de son droit d'être entendu. Les difficultés rencontrées par son conseil ne sont pas étayées. Enfin, le recourant peut difficilement reprocher à l'autorité précédente de ne pas s'être penchée sur des pièces qu'il n'avait pas produites, alors qu'elles lui avaient été expressément demandées. Les griefs du recourant seront donc rejetés et la décision entreprise confirmée.</w:t>
      </w:r>
    </w:p>
    <w:p>
      <w:r>
        <w:rPr>
          <w:b/>
        </w:rPr>
        <w:t>E. 4</w:t>
      </w:r>
    </w:p>
    <w:p>
      <w:r>
        <w:t>Sauf exceptions non réalisées en l'espèce, il n'est pas perçu de frais judiciaires pour la procédure d'assistance juridique (art. 119 al. 6 CPC). Le recourant a sollicité l'assistance judiciaire pour la procédure de recours. Cette demande devant être formulée auprès de la Présidence du Tribunal civil (art. 1 al. 1 RAJ), il ne sera pas entré en matière. * * * * * PAR CES MOTIFS, LE VICE-PRÉSIDENT DE LA COUR : A la forme : Déclare recevable le recours formé par A______ contre la décision rendue le 22 octobre 2020 par la Vice-présidente du Tribunal de première instance dans la cause AC/2224/2020. Au fond : Le rejette. Déboute A______ de toutes autres conclusions. Dit qu'il n'est pas perçu de frais judiciaires pour le recours. Notifie une copie de la présente décision à A______ en l'Étude de M e Olivier CARRE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