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AC/2218/2019 vom 11. Juli 2019</w:t>
      </w:r>
    </w:p>
    <w:p>
      <w:r>
        <w:t>GE Cour de justice, 2019-07-11, FR</w:t>
      </w:r>
    </w:p>
    <w:p>
      <w:r>
        <w:rPr>
          <w:b/>
        </w:rPr>
        <w:t xml:space="preserve">Quelle: </w:t>
      </w:r>
      <w:r>
        <w:t>https://mcp.opencaselaw.ch/entscheid/ge_gerichte_AC_2218_2019</w:t>
      </w:r>
    </w:p>
    <w:p>
      <w:r>
        <w:t>FR: GE_GERICHTE AC/2218/2019 du 11 juillet 2019</w:t>
      </w:r>
    </w:p>
    <w:p>
      <w:r>
        <w:t>IT: GE_GERICHTE AC/2218/2019 del 11 luglio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L'art. 30 LaCC prévoit que lorsqu'il est appelé à statuer sur l'exécution d'un jugement d'évacuation d'un logement, le Tribunal siège en présence de représentants du département chargé du logement et de représentants des services sociaux (al. 3); après leur audition et l'audition des parties, il peut, pour des motifs humanitaires, surseoir à l'exécution du jugement d'évacuation dans la mesure nécessaire pour permettre le relogement du locataire ou du fermier (al. 4). S'agissant des motifs de sursis, différents de cas en cas, ils doivent être dictés par des "raisons élémentaires d'humanité". Constituent notamment de tels motifs la maladie grave ou le décès de l'expulsé ou d'un membre de sa famille, le grand âge ou la situation modeste de l'expulsé ( ACJC/247/2017 du 6 mars 2017 consid. 2.2.1 et les réf. citées). Dans sa jurisprudence, la Cour de justice a confirmé à plusieurs reprises l'évacuation par la force publique, dans un délai compris entre trente et nonante jours à compter de l'entrée en force du jugement, de locataires qui avaient des enfants mineurs, avaient accumulé des arriérés de loyers conséquents et, soit ne réglaient pas les indemnités courantes, soit s'acquittaient de celles-ci avec retard. Ce dernier aspect devait en effet être pris en compte dans la pondération à effectuer en vertu du principe de proportionnalité ( ACJC/1147/2017 du 18 septembre 2017; ACJC/78/2017 du 23 janvier 2017; ACJC/583/2016 du 25 avril 2016; ACJC/187/2014 du 10 février 2014). La Cour a cependant accordé des sursis de neuf mois à des locataires qui étaient au bénéfice de l'assistance publique, qui s'acquittaient de leur loyer courant et dont le bailleur n'avait pas un besoin urgent de reprendre le logement. La situation modeste de ces locataires, qui était notoirement de nature à compliquer leurs recherches de relogement, constituait en effet un motif humanitaire au sens de la jurisprudence ( ACJC/706/2014 du 16 juin 2014; ACJC/213/2012 du 20 février 2012).</w:t>
      </w:r>
    </w:p>
    <w:p>
      <w:r>
        <w:rPr>
          <w:b/>
        </w:rPr>
        <w:t>E. 2.3</w:t>
      </w:r>
    </w:p>
    <w:p>
      <w:r>
        <w:t>En l'occurrence, il résulte du dossier que la recourante vit avec ses quatre enfants, dont deux mineurs, dans le logement qui fait l'objet du litige, qu'elle bénéficie de l'assistance publique et qu'elle est à jour dans le paiement du «loyer». Au regard de la jurisprudence rappelée ci-dessus, il ne paraît a priori pas impossible, au regard de la situation personnelle et familiale de la recourante, que la Cour lui accorde un sursis pour des motifs humanitaires. C'est donc à tort que le Vice-président du Tribunal civil a considéré que la cause de la recourante était dénuée de chances de succès. La décision entreprise sera dès lors annulée et la cause renvoyée à l'autorité de première instance pour examen de la condition d'indigence et nouvelle décision.</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11 juillet 2019 par le Vice-président du Tribunal civil dans la cause AC/2218/2019. Au fond : Annule la décision entreprise et cela fait : Renvoie la cause au Vice-président du Tribunal civil pour instruction complémentaire et nouvelle décision.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