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AC/21/2019 vom 5. März 2019</w:t>
      </w:r>
    </w:p>
    <w:p>
      <w:r>
        <w:t>GE Cour de justice, 2019-03-05, FR</w:t>
      </w:r>
    </w:p>
    <w:p>
      <w:r>
        <w:rPr>
          <w:b/>
        </w:rPr>
        <w:t xml:space="preserve">Quelle: </w:t>
      </w:r>
      <w:r>
        <w:t>https://mcp.opencaselaw.ch/entscheid/ge_gerichte_AC_21_2019</w:t>
      </w:r>
    </w:p>
    <w:p>
      <w:r>
        <w:t>FR: GE_GERICHTE AC/21/2019 du 5 mars 2019</w:t>
      </w:r>
    </w:p>
    <w:p>
      <w:r>
        <w:t>IT: GE_GERICHTE AC/21/2019 del 5 marzo 2019</w:t>
      </w:r>
    </w:p>
    <w:p>
      <w:pPr>
        <w:pStyle w:val="Heading2"/>
      </w:pPr>
      <w:r>
        <w:t>Regeste</w:t>
      </w:r>
    </w:p>
    <w:p>
      <w:r>
        <w:t>CHANCES DE SUCCÈS;DÉNONCIATEUR</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délai de recours est un délai légal non prolongeable et le recourant n'explique pas en quoi il a été empêché de déposer un acte de recours complet, étant relevé que le recours déposé fait déjà plusieurs pages, de sorte qu'il ne peut être donné suite à la conclusion du recourant tendant à compléter son recours (art. 144 al. 1 CPC). Cela étant,le recours est recevable pour avoir été interjeté dans le délai utile et en la forme écrite prescrite par la loi, celui-ci étant suffisamment motivé.</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De jurisprudence constante, le dénonciateur n'a pas la qualité de partie dans une procédure disciplinaire engagée à l'encontre de personnes exerçant une profession réglementée, à l'instar des médecins ou des avocats ( ATA/359/2017 du 28 mars 2017 consid. 4a ; ATA/300/2016 du 12 avril 2016 consid. 6 et les références citées). La procédure de surveillance des avocats a pour but d'assurer l'exercice correct de la profession par les avocats et de préserver la confiance du public à leur égard et non de défendre les intérêts privés des particuliers (ATF 133 II 468 , consid. 2, à propos des notaires). Dans les procédures disciplinaires, le dénonciateur ou le plaignant n'est donc pas partie à la procédure et il n'a pas accès au dossier ( ATA/1059/2015 précité consid. 4b et les arrêts cités). Le dénonciateur ne saurait exiger que l'autorité entre en matière, respecte à son égard le droit d'être entendu ou lui notifie la décision qu'elle prendra ( ATA/359/2017 précité consid. 4a; ATA/383/2011 du 21 juin 2011 consid. 3a). S'il est informé de l'issue de celle-ci, il n'a pas automatiquement connaissance des considérants de la décision prise par la commission (art. 48 de la loi sur la profession d'avocat du 26 avril 2002 - LPAv - E 6 10). Celui qui introduit une procédure disciplinaire ne possède aucun droit à une décision, de sorte que, s'il n'y est pas donné suite, il n'est pas atteint dans ses intérêts personnels. Le fait que la décision de la commission soit susceptible d'avoir une incidence sur une procédure à laquelle le dénonciateur est partie ne permet pas non plus de considérer que celui-ci est directement touché dans ses droits et obligations ( ATA/359/2017 précité consid. 4a; ATA/82/2017 du 31 janvier 2017 et les références citées). Par conséquent, le refus de donner suite à une dénonciation ne peut faire l'objet d'aucun recours, puisque le dénonciateur n'agit dans ce cadre que comme auxiliaire de l'autorité en déclenchant la procédure (ATF 135 II 145 consid. 6.1 p. 151; 133 II 468 consid. 2 p. 471; ATA/359/2017 précité consid. 4a; ATA/82/2017 précité et les arrêts cités), sous réserve de cas particulier non réalisé en l'espèce (ATF 138 II 162 ).</w:t>
      </w:r>
    </w:p>
    <w:p>
      <w:r>
        <w:rPr>
          <w:b/>
        </w:rPr>
        <w:t>E. 3.2</w:t>
      </w:r>
    </w:p>
    <w:p>
      <w:r>
        <w:t>En l'espèce, le recourant se trouve en position de dénonciateur vis-à-vis de la Commission du barreau. Au regard des dispositions légales et des principes jurisprudentiels rappelés ci-dessus, son recours sera vraisemblablement déclaré irrecevable. La décision de rejet du Vice-président du Tribunal civil du 5 mars 2019 doit donc être confirmée par substitution de motifs.</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8 avril 2019 par A______ contre la décision rendue le</w:t>
      </w:r>
    </w:p>
    <w:p>
      <w:r>
        <w:rPr>
          <w:b/>
        </w:rPr>
        <w:t>E. 5</w:t>
      </w:r>
    </w:p>
    <w:p>
      <w:r>
        <w:t>mars 2019 par le Vice-président du Tribunal civil dans la cause AC/21/2019.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