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AC/2198/2020 vom 23. Juli 2021</w:t>
      </w:r>
    </w:p>
    <w:p>
      <w:r>
        <w:t>GE Cour de justice, 2021-07-23, FR</w:t>
      </w:r>
    </w:p>
    <w:p>
      <w:r>
        <w:rPr>
          <w:b/>
        </w:rPr>
        <w:t xml:space="preserve">Quelle: </w:t>
      </w:r>
      <w:r>
        <w:t>https://mcp.opencaselaw.ch/entscheid/ge_gerichte_AC_2198_2020</w:t>
      </w:r>
    </w:p>
    <w:p>
      <w:r>
        <w:t>FR: GE_GERICHTE AC/2198/2020 du 23 juillet 2021</w:t>
      </w:r>
    </w:p>
    <w:p>
      <w:r>
        <w:t>IT: GE_GERICHTE AC/2198/2020 del 23 luglio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reproche à la vice-présidente du Tribunal de première instance d'avoir violé son droit d'être entendu, puisqu'elle a omis de se déterminer sur les chances de succès de l'un des griefs invoqué dans son recours dirigé contre l'ordonnance du 20 mai 2021.</w:t>
      </w:r>
    </w:p>
    <w:p>
      <w:r>
        <w:rPr>
          <w:b/>
        </w:rPr>
        <w:t>E. 3.1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Le droit d'être entendu garantit également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arrêts cités).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(ATF 139 I 189 consid. 3.2 et les références citées). En principe, le droit d'être entendu est une garantie procédurale à caractère formel, dont la violation entraîne l'annulation de la décision attaquée indépendamment des chances de succès du recours sur le fond (ATF 141 V 495 consid. 2.2;127 V 431 consid. 3d/aa).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3.2</w:t>
      </w:r>
    </w:p>
    <w:p>
      <w:r>
        <w:t>En l'espèce, l'autorité de première instance n'a pas examiné, ne serait-ce que succinctement, les chances de succès du recours formé par le recourant en ce qui concerne le grief tiré de la violation de son droit d'être entendu, alors même qu'il résulte du dossier au fond qu'au moins l'une des écritures de son épouse ne lui a pas été communiquée par le Tribunal de protection. L'autorité de première instance a ainsi omis de traiter un point dont la pertinence est indéniable pour statuer sur la requête d'assistance juridique du recourant. La décision de refus consacre dès lors une grave violation du droit d'être entendu du recourant, laquelle ne saurait être considérée comme subséquemment réparée par l'usage des voies de recours à disposition. Par conséquent, la décision querellée sera annulée et la cause renvoyée à l'autorité de première instance pour examen des chances de succès de tous les griefs invoqués par le recourant dans le cadre de son recours contre l'ordonnance du Tribunal de protection du 20 mai 2021.</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