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AC/2175/2019 vom 16. Juli 2019</w:t>
      </w:r>
    </w:p>
    <w:p>
      <w:r>
        <w:t>GE Cour de justice, 2019-07-16, FR</w:t>
      </w:r>
    </w:p>
    <w:p>
      <w:r>
        <w:rPr>
          <w:b/>
        </w:rPr>
        <w:t xml:space="preserve">Quelle: </w:t>
      </w:r>
      <w:r>
        <w:t>https://mcp.opencaselaw.ch/entscheid/ge_gerichte_AC_2175_2019</w:t>
      </w:r>
    </w:p>
    <w:p>
      <w:r>
        <w:t>FR: GE_GERICHTE AC/2175/2019 du 16 juillet 2019</w:t>
      </w:r>
    </w:p>
    <w:p>
      <w:r>
        <w:t>IT: GE_GERICHTE AC/2175/2019 del 16 luglio 2019</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la pièce nouvelle ne seront pas pris en considération.</w:t>
      </w:r>
    </w:p>
    <w:p>
      <w:r>
        <w:rPr>
          <w:b/>
        </w:rPr>
        <w:t>E. 3.1</w:t>
      </w:r>
    </w:p>
    <w:p>
      <w:r>
        <w:t>3.1.1 La fourniture d'un conseil juridique rémunéré par l'Etat suppose la réalisation de trois conditions : une cause non dénuée de chances de succès, l'indigence et la nécessité de l'assistance par un professionnel (art. 29 al. 3 Cst. et 117 let. a et b CPC; ATF 141 III 560 consid. 3.2.1).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Selon l'art. 122 CC, les prétentions de prévoyance professionnelle acquises durant le mariage et jusqu'à l'introduction de la procédure de divorce sont partagées entre les époux.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Le juge du divorce a en outre la possibilité de tenir compte, dans son appréciation, de la violation par un époux de son obligation d'entretenir la famille. Il ne peut toutefois le faire que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et ce même si la prévoyance du conjoint créancier n'apparaît pas adéquate (ATF 145 III 56 consid. 5.4 et les références citées). Une violation grave de l'obligation de contribuer à l'entretien de la famille a été retenue à l'endroit de l'époux qui n'avait que très peu travaillé, ne s'était occupé ni des enfants, ni du ménage durant le mariage. Il avait en outre disposé seul d'un crédit de plus de 90'000 fr., dont son épouse avait dû assumer le remboursement, l'avait surveillée au point de la priver d'autonomie, l'avait maltraitée tant physiquement que psychologique-ment, et avait parfois privé la famille de l'argent nécessaire à ses besoins de base car il jouait une partie du salaire de son épouse aux jeux de hasard (ATF 145 III 56 consid. 6).</w:t>
      </w:r>
    </w:p>
    <w:p>
      <w:r>
        <w:rPr>
          <w:b/>
        </w:rPr>
        <w:t>E. 3.2</w:t>
      </w:r>
    </w:p>
    <w:p>
      <w:r>
        <w:t>En l'espèce, le recourant reproche au Président du Tribunal civil d'avoir rejeté sa requête d'assistance juridique nonobstant son indigence. Or, le Président du Tribunal civil ne s'est pas prononcé sur la condition de l'indigence. Il a rejeté la requête au motif que l'appel contre le jugement du 12 avril 2019 paraissait irrecevable, respectivement dépourvu de chances de succès. Le grief du recourant est, dès lors, infondé. Même à supposer que l'appel contre le jugement du 12 avril 2019 soit recevable et que le recourant remette implicitement en cause dans le présent recours que son appel ne soit pas dénué de chances de succès, force est d'admettre que celui-ci, au regard de l'art. 124b al. 2 CC et de son interprétation par l'ATF 145 III 56 , paraît voué à l'échec. En effet, il ressort des faits exposés par le Président du Tribunal civil, qui résultent du témoignage du médecin traitant de l'ex-épouse et de pièces versées à la procédure de première instance, que le recourant a gravement violé son obligation d'entretien envers sa famille au point que la perspective de se voir refuser l'attribution d'une prestation de sortie pour cause de justes motifs soit notablement plus élevée que celle de lui en attribuer une, ne serait-ce qu'en partie. Ainsi, une personne raisonnable et de condition aisée renoncerait à former appel en de telles circonstances et afin d'éviter l'avance de frais y relative. Infondé, le recours sera dès lors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16 juillet 2019 par le Président du Tribunal civil dans la cause AC/2175/2019.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