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AC/216/2024 vom 12. Februar 2025</w:t>
      </w:r>
    </w:p>
    <w:p>
      <w:r>
        <w:t>GE Cour de justice, 2025-02-12, FR</w:t>
      </w:r>
    </w:p>
    <w:p>
      <w:r>
        <w:rPr>
          <w:b/>
        </w:rPr>
        <w:t xml:space="preserve">Quelle: </w:t>
      </w:r>
      <w:r>
        <w:t>https://mcp.opencaselaw.ch/entscheid/ge_gerichte_AC_216_2024</w:t>
      </w:r>
    </w:p>
    <w:p>
      <w:r>
        <w:t>FR: GE_GERICHTE AC/216/2024 du 12 février 2025</w:t>
      </w:r>
    </w:p>
    <w:p>
      <w:r>
        <w:t>IT: GE_GERICHTE AC/216/2024 del 12 febbraio 2025</w:t>
      </w:r>
    </w:p>
    <w:p>
      <w:pPr>
        <w:pStyle w:val="Heading2"/>
      </w:pPr>
      <w:r>
        <w:t>Erwägungen</w:t>
      </w:r>
    </w:p>
    <w:p>
      <w:r>
        <w:rPr>
          <w:b/>
        </w:rPr>
        <w:t>E. 1.1</w:t>
      </w:r>
    </w:p>
    <w:p>
      <w:r>
        <w:t>Les décisions de remboursement prises par la vice-présidence du Tribunal civil, rendues en procédure sommaire (art. 119 al. 3 CPC), peuvent faire l'objet d'un recours auprès de la présidente de la Cour de justice (art. 121 CPC, 21 al. 3 LaCC, 11 et 19 al. 5 RAJ),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w:t>
      </w:r>
    </w:p>
    <w:p>
      <w:r>
        <w:t>La recourante conteste certains montants retenus par l'Autorité de première instance. S'agissant de son salaire, elle fait valoir que sa perception est irrégulière, en raison des vacances de ses employeuses, estimant être rémunérée durant 10 mois sur l'année. Elle invoque un loyer de 1'745 fr., une prime d'assurance-maladie de 571 fr. 75 et l'absence de prise en compte de ses charges suivantes : physiothérapie, médicaments, examens annuels demandés par les médecins suite à des problèmes de santé " par le passé ", frais dentaires et d'ophtalmologie, d'électricité : entre 120 fr. et 180 fr. tous les deux mois, téléphone, internet : 130 fr. à 150 fr. par mois, assurance-ménage obligatoire : plus de 300 fr. par an, assurance-voiture : 800 fr. à 900 fr. par an et plaques : plus de 400 fr. 2.1.1 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 2.1.2 Selon les Normes d’insaisissabilité pour l’année 2025 (NI-2025; E 3 60.04), un débiteur vivant seul doit disposer d'un montant de base absolument indispensable de 1'200 fr. par mois pour l’alimentation, les vêtements et le linge y compris leur entretien, les soins corporels et de santé, l’entretien du logement, les assurances privées, les frais culturels ainsi que les dépenses pour l’éclairage, le courant électrique ou le gaz pour la cuisine, etc. (NI-2025 ch. I.1). Le minimum vital du droit des poursuites est augmenté d'un certain pourcentage (arrêt du Tribunal fédéral 7B_846/2023 du 9 janvier 2024 consid. 2.2). S'ajoute à ce montant le loyer effectif pour le logement (NI-2025 ch. 1). La place de parc ne fait en principe pas partie des charges incompressibles (arrêt du Tribunal fédéral 5A_836/2021 du 29 août 2022 consid. 3.3 et les références citées), en particulier lorsque le justiciable n'a pas démontré que cette charge serait nécessaire à l'exercice de sa profession (arrêt du Tribunal fédéral 5A_836/2021 du 29 août 2022 consid. 3.3). Dans le même sens, les frais de véhicule ne peuvent être pris en considération que si le véhicule est indispensable au débiteur personnellement (cf. le cas d'un invalide : ATF 108 III 60 consid. 3) ou nécessaire à l'exercice de sa profession, l'utilisation des transports publics ne pouvant être raisonnablement exigée (ATF 110 III 17 consid. 2d; arrêts du Tribunal fédéral 7B_846/2023 du 9 janvier 2024 consid. 2.2; 5A_971/2020 du 19 novembre 2021 consid. 9.2 et les références citées). Si le véhicule n'a pas qualité d'objet de stricte nécessité pour l'exercice de la profession, il convient de prendre en compte l'abonnement des transports publics (NI-2025 ch. 4 let. d). Les primes d'assurance maladie obligatoire, sans les primes à payer pour des assurances non obligatoires, doivent être ajoutées (NI-2025 ch. 3; ATF 134 III 323 et ss; arrêt du Tribunal fédéral 7B_846/2023 du 9 janvier 2024 consid. 2.2). Les frais médicaux, la participation aux coûts de la santé et la franchise peuvent être pris en considération s'ils sont établis (arrêt du Tribunal fédéral 5A_595/2020 du 24 août 2021 consid. 4.1.3). Seules les charges réellement acquittées sont susceptibles d'entrer dans le calcul du minimum vital (ATF 135 I 221 consid. 5.1; 121 III 20 consid. 3a; arrêts du Tribunal fédéral 5A_984/2022 du 27 mars 2023 consid. 3.1). 3.2 En l'espèce, la recourante, qui exerce en qualité de femme de ménage, ne démontre pas percevoir des revenus mensuels sur dix mois uniquement, en raison des vacances de ses deux employeuses. Au contraire, il ressort des bulletins de salaires et attestations qu'elle a produits que des salaires lui ont été versés, en particulier durant les périodes de vacances usuelles de juillet à août 2023 et en décembre 2024. Par conséquent, ses revenus mensuels nets ont été correctement fixés à 4'179 fr. 25. S'agissant de ses charges mensuelles, le loyer de son logement est de 1'525 fr., charges comprises, sans les places de parc pour deux véhicules et une moto, parce qu'elle n'a pas dit en quoi l'utilisation de ces véhicules lui serait indispensable personnellement ou pour l'exercice de sa profession. Cela implique également d'écarter les frais de véhicules (assurance-voiture et plaques). En tout état de cause, le réseau dense des transports publics à Genève lui permet de se déplacer aisément de son domicile jusqu'à ses employeuses à D______. A cette fin, des frais de transports publics lui seront réservés dans ses charges mensuelles, à hauteur de 70 fr. par mois. La prime d'assurance-maladie obligatoire est de 531 fr. 55, sans la complémentaire, qui ne peut pas être incluse selon la NI-2025 ch. 3 et la jurisprudence sus-évoquée. Elle n'a pas justifié avoir dû payer d'autres frais (physiothérapie, médicaments, examens annuels demandés par les médecins, frais dentaires et d'ophtalmologie), lesquels sont en principe assumés par son assurance-maladie, hormis sa franchise et sa quote-part, aux sujets desquels elle n'a donné ni son certificat d'assurance, ni décompte d'assurance. Enfin, les frais d'électricité, de téléphone, internet, d'assurance-ménage obligatoire sont déjà inclus dans sa base mensuelle d'entretien de 1'200 fr. Compte tenu de ce qui précède, les charges mensuelles admissibles de la recourante, calculées selon son minimum vital élargi, sont portées 3'626 fr. 55 (3'556 fr. 55 + 70 fr.). Compte tenu de ses revenus mensuels nets en 4'179 fr. 25, son disponible mensuel est réduit à 552 fr. 70. Ainsi, en dépit de la correction de ses charges mensuelles, la situation financière de la recourante s'est améliorée, ainsi que la vice-présidence du Tribunal civil l'a admis avec raison. La recourante demeure en effet en mesure de rembourser les prestations fournies par l'Etat en 3'261 fr. 95 sans qu'il soit porté atteinte à ses besoins fondamentaux. Elle pourra régler sa dette en six mois, en y affectant l'entier de son disponible. Elle pourra en tout état de cause solliciter des Services financiers du Pouvoir judiciaire un arrangement de paiement afin de la payer par mensualités.</w:t>
      </w:r>
    </w:p>
    <w:p>
      <w:r>
        <w:rPr>
          <w:b/>
        </w:rPr>
        <w:t>E. 3</w:t>
      </w:r>
    </w:p>
    <w:p>
      <w:r>
        <w:t>Sauf exceptions non réalisées en l'espèce, il n'est pas perçu de frais judiciaires pour la procédure d'assistance juridique (art. 119 al. 6 CPC). Il n'y a pas lieu à l'octroi de dépens. * * * * * PAR CES MOTIFS, LA VICE-PRÉSIDENTE DE LA COUR : A la forme : Déclare recevable le recours formé le 6 mars 2025 par A______ contre la décision rendue le 12 février 2025 par la vice-présidence du Tribunal civil dans la cause AC/216/2024.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Victoria PALAZZETTI, greffière.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