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AC/2146/2021 vom 13. August 2021</w:t>
      </w:r>
    </w:p>
    <w:p>
      <w:r>
        <w:t>GE Cour de justice, 2021-08-13, FR</w:t>
      </w:r>
    </w:p>
    <w:p>
      <w:r>
        <w:rPr>
          <w:b/>
        </w:rPr>
        <w:t xml:space="preserve">Quelle: </w:t>
      </w:r>
      <w:r>
        <w:t>https://mcp.opencaselaw.ch/entscheid/ge_gerichte_AC_2146_2021</w:t>
      </w:r>
    </w:p>
    <w:p>
      <w:r>
        <w:t>FR: GE_GERICHTE AC/2146/2021 du 13 août 2021</w:t>
      </w:r>
    </w:p>
    <w:p>
      <w:r>
        <w:t>IT: GE_GERICHTE AC/2146/2021 del 13 agosto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En vertu de l'art. 195 al. 1 LP, le juge prononce la révocation de la faillite et la réintégration du débiteur dans la libre disposition de ses biens lorsque celui-ci établit que toutes les dettes sont payées (ch. 1), qu'il présente une déclaration de tous les créanciers attestant qu'ils retirent leurs productions (ch. 2) ou qu'un concordat a été homologué (ch. 3). La révocation peut être prononcée dès l'expiration du délai pour les productions et jusqu'à la clôture de la faillite (art. 195 al. 2 LP).</w:t>
      </w:r>
    </w:p>
    <w:p>
      <w:r>
        <w:rPr>
          <w:b/>
        </w:rPr>
        <w:t>E. 3.2.2</w:t>
      </w:r>
    </w:p>
    <w:p>
      <w:r>
        <w:t>En procédure civile, les citations, ordonnances, décisions et actes des parties sont notifiés par envoi recommandé ou d'une autre manière contre accusé de réception (art. 138 al. 1 CPC). L'acte est réputé notifié lorsqu'il a été remis au destinataire, à un de ses employés ou à une personne de seize ans au moins vivant dans le même ménage (art. 138 al. 2 CPC). La preuve de la notification et de la date de son accomplissement incombe à l'autorité qui entend en tirer une conséquence juridique (ATF 129 I 8 consid. 2.2; 124 V 400 consid. 2a ; arrêts du Tribunal fédéral 5D_62/2014 du 14 octobre 2014 consid. 3.1 et 9C_411/2008 du 17 septembre 2008 consid. 3). Les décisions qui n’ont pas été communiquées à l’intéressé ne produisent en principe aucun effet juridique, respectivement n’entrent pas en force de chose jugée et ne sont dès lors pas exécutoires (ATF 141 I 97 consid. 7.1 et les références citées; ATF 129 I 361 c. 2.3, in JdT 2004 II 47 ; arrêt du Tribunal fédéral 4A_224/2017 du 27 juin 2017 consid. 2.3.2). Le respect des dispositions relatives à la notification des actes judiciaires n'est pas un but en soi. Partant, les vices de communication n'entraînent pas nécessairement la nullité de l'acte judiciaire concerné. La notification irrégulière a généralement pour seule conséquence qu'elle ne doit entraîner aucun préjudice pour les parties (cf. art. 49 LTF). Cela signifie que le délai de recours pour attaquer l'acte notifié irrégulièrement court dès le jour où les parties ont pu en prendre connaissance, dans son dispositif et ses motifs (arrêt du Tribunal fédéral 5A_699/2019 du 30 mars 2020 consid. 5.1, non publié aux ATF 146 III 247 , et les références citées).</w:t>
      </w:r>
    </w:p>
    <w:p>
      <w:r>
        <w:rPr>
          <w:b/>
        </w:rPr>
        <w:t>E. 3.3</w:t>
      </w:r>
    </w:p>
    <w:p>
      <w:r>
        <w:t>En l'espèce, c'est à juste titre que l'Autorité de première instance a retenu que la requête en révocation de la faillite que souhaitait former le recourant avait peu de chances d'aboutir, dès lors que la faillite avait déjà été clôturée par jugement du 31 août 2020. A cet égard, contrairement à ce que plaide le recourant, il n'apparaît pas que dit jugement soit devenu nul du seul fait qu'il n'a pas été formellement communiqué au recourant. Il appert plutôt qu'il a été privé d'effet juridique jusqu'au 9 juillet 2021, date à laquelle il est finalement parvenu à la connaissance du recourant. A compter de cette date, ce dernier aurait pu l'attaquer dans le délai fixé par la loi, lequel n'a a priori commencé à courir qu'à ce moment-là en ce qui le concerne. En ne formant pas recours, le recourant a ainsi permis à dite décision d'entrer en force malgré sa notification irrégulière. Il est donc fort probable que le juge saisi de la requête en révocation de faillite déboute le recourant de ses conclusions, au motif que ce dernier ne peut procéder comme si cette décision n'avait jamais existée. Quant à l'argument du recourant tiré de la confiance placée dans la personne en charge de son dossier à l'Office des faillites, il ne semble lui être d'aucun secours, dès lors que le recourant a été placé dans la même situation que si la notification du jugement de clôture de faillite était intervenue régulièrement. Il n'a donc subi aucun préjudice de ce fait. Il y a pour le surplus lieu de relever que la révocation de la faillite n'entre pas en considération dans le cas où, comme en l'espèce, la suspension de la liquidation faute d'actifs (art. 230 LP) a été prononcée (Cometta, in Commentaire romand, Poursuite et faillite, 2005, n. 1 ad art. 195 LP).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