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AC/2139/2016 vom 26. Juli 2016</w:t>
      </w:r>
    </w:p>
    <w:p>
      <w:r>
        <w:t>GE Cour de justice, 2016-07-26, FR</w:t>
      </w:r>
    </w:p>
    <w:p>
      <w:r>
        <w:rPr>
          <w:b/>
        </w:rPr>
        <w:t xml:space="preserve">Quelle: </w:t>
      </w:r>
      <w:r>
        <w:t>https://mcp.opencaselaw.ch/entscheid/ge_gerichte_AC_2139_2016</w:t>
      </w:r>
    </w:p>
    <w:p>
      <w:r>
        <w:t>FR: GE_GERICHTE AC/2139/2016 du 26 juillet 2016</w:t>
      </w:r>
    </w:p>
    <w:p>
      <w:r>
        <w:t>IT: GE_GERICHTE AC/2139/2016 del 26 luglio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2.2</w:t>
      </w:r>
    </w:p>
    <w:p>
      <w:r>
        <w:t>En l'espèce, la recourante reproche au premier juge d'avoir pris en compte un montant trop élevé d'allocations familiales, d'avoir écarté les frais de cuisine scolaire et d'avoir retenu uniquement la moitié des frais d'abonnement TPG pour ses enfants. Son premier grief est fondé. En effet, il résulte des décomptes produits que les allocations familiales pour B______ sont incluses dans les indemnités de chômage versées à la recourante. En retentant que la recourante percevait 3'786 fr. 20 d'indemnités de chômage, plus 900 fr. d'allocations familiales (sous déduction des 300 fr. versés au père de C_____ et D______), la décision entreprise a donc compté les allocations familiales de B______ à double. En ce qui concerne les charges du ménage, c'est à tort que les frais de cuisine scolaire ont été écartés. En effet, la recourante étant actuellement à la recherche d'un emploi, il est nécessaire qu'elle dispose d'un moyen de garde pour ses enfants aînés pendant la pause de midi, qui s'étend de 11h30 à 13h30. En outre, le domicile de la recourante étant situé à plus de 30 minutes en transports publics de l'école des enfants à ______ (cf. https://maps.google.com), il semble justifié que les enfants ne perdent pas plus d'une heure à se déplacer pour manger au domicile de leur mère puis retourner à l'école. Par ailleurs, dans la mesure où les enfants sont scolarisés dans la commune où vit leur père, il ne paraît pas invraisemblable que celui-ci ne participe pas aux frais d'abonnement TPG rendus nécessaires uniquement par le domicile plus éloigné de la recourante. La totalité des abonnements TPG des enfants sera donc prise en compte. Compte tenu de ce qui précède, les ressources mensuelles du ménage de la recourante se chiffrent donc à 5'009 fr., comprenant 3'785 fr. d'indemnités de chômage (moyenne de janvier à juin 2016), y compris les allocations familiales pour B______, 300 fr. d'allocations familiales pour C______ et D______ et 924 fr. de prestations du SPC. Les charges du ménage de la recourante s'élèvent à 4'600 fr. environ, comprenant 853 fr. de loyer, parking exclu, 621 fr. 60 d'assurance-maladie LAMal, subsides déduits, 50 fr. d'impôts 2014, selon arrangement de paiement, 165 fr. d'abonnements TPG pour la recourante et ses deux enfants aînés, 80 fr. de forfait pour recherches d'emploi, 133 fr. de frais de cuisine scolaire et 2'250 fr. d'entretien de base OP pour la famille, ainsi qu'une majoration de 20% de ce dernier montant. Le disponible mensuel du ménage de la recourante s'élève ainsi à 409 fr. Il résulte du dossier que la recourante s'est d'ores et déjà acquittée de l'avance de frais requise pour la procédure visant à la rectification de son jugement de divorce. Ladite procédure ne nécessitera vraisemblablement pas plus de 10 heures d'activité d'avocat. Compte tenu de son disponible mensuel, la recourante est en mesure d'amortir en moins d'une année les honoraires de son conseil, qui peuvent être estimés à 4'000 fr. au maximum. Par conséquent, c'est à bon droit que le Vice-président du Tribunal civil a rejeté la demande d'assistance juridique de la recourante au motif que la condition d'indigence n'était pas remplie.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26 juillet 2016 par le Vice-président du Tribunal civil dans la cause AC/2139/2016.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