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AC/2134/2015 vom 26. August 2015</w:t>
      </w:r>
    </w:p>
    <w:p>
      <w:r>
        <w:t>GE Cour de justice, 2015-08-26, FR</w:t>
      </w:r>
    </w:p>
    <w:p>
      <w:r>
        <w:rPr>
          <w:b/>
        </w:rPr>
        <w:t xml:space="preserve">Quelle: </w:t>
      </w:r>
      <w:r>
        <w:t>https://mcp.opencaselaw.ch/entscheid/ge_gerichte_AC_2134_2015</w:t>
      </w:r>
    </w:p>
    <w:p>
      <w:r>
        <w:t>FR: GE_GERICHTE AC/2134/2015 du 26 août 2015</w:t>
      </w:r>
    </w:p>
    <w:p>
      <w:r>
        <w:t>IT: GE_GERICHTE AC/2134/2015 del 26 agosto 2015</w:t>
      </w:r>
    </w:p>
    <w:p>
      <w:pPr>
        <w:pStyle w:val="Heading2"/>
      </w:pPr>
      <w:r>
        <w:t>Regeste</w:t>
      </w:r>
    </w:p>
    <w:p>
      <w:r>
        <w:t>NÉCESSITÉ; AVOCAT; RÉGIME MATRIMONIAL</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Toute personne qui ne dispose pas de ressources suffisantes a droit à l'assistance judiciaire à moins que sa cause paraisse dépourvue de toute chance de succès (art. 29 al. 3 Cst. et art. 117 CPC). Il faut toutefois que l'assistance soit nécessaire, soit que la défense des droits du requérant l'exige, cette condition étant prévue expressément pour la commission d'office d'un conseil juridique (ATF 121 I 314 consid. 4b ; Corboz, Le droit constitutionnel à l'assistance judiciaire, in SJ 2003 II 67, p. 75/78 ; art. 118 al. 1 CPC).![endif]&gt;![if&gt;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À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w:t>
      </w:r>
    </w:p>
    <w:p>
      <w:r>
        <w:rPr>
          <w:b/>
        </w:rPr>
        <w:t>E. 2.2</w:t>
      </w:r>
    </w:p>
    <w:p>
      <w:r>
        <w:t>D'après l'art. 52 LDIP, le régime matrimonial est régi par le droit choisi par les époux, ces derniers pouvant choisir le droit de l'Etat dans lequel ils sont tous deux domiciliés ou seront domiciliés après la célébration du mariage ou le droit d'un Etat dont l'un deux à la nationalité. Aux termes de l'art. 53 al. 1 LDIP, l'élection de droit doit faire l'objet d'une convention écrite ou ressortir d'une façon certaine des dispositions du contrat de mariage.</w:t>
      </w:r>
    </w:p>
    <w:p>
      <w:r>
        <w:rPr>
          <w:b/>
        </w:rPr>
        <w:t>E. 2.3</w:t>
      </w:r>
    </w:p>
    <w:p>
      <w:r>
        <w:t>En l'espèce, au vu des principes rappelés ci-dessus, c'est à bon droit que l'Autorité de première instance a considéré qu'aucune circonstance particulière ne rendait nécessaire la nomination d'un avocat pour les démarches envisagées par le recourant. En effet, pour que le régime matrimonial du recourant et de son épouse soit soumis au droit malaisien, il leur suffit de conclure une convention écrite à cet effet, démarche pour laquelle l'assistance d'un avocat n'est pas nécessaire, ce d'autant plus que le recourant, qui agit en personne, dispose de connaissances juridiques suffisantes pour rédiger une telle convention. Au demeurant, rien n'empêche les époux de préciser dans la convention qu'il ne s'agit que d'une confirmation écrite du régime matrimonial qui leur est d'ores et déjà applicable selon la loi islamique. À défaut d'élection de droit, le régime matrimonial des époux est régi par le droit de l'Etat dans lequel les époux sont domiciliés (art. 54 al. 1 LDIP), soit le droit suisse. Or, en droit suisse, que les époux soient mariés sous le régime de la participation aux acquêts ou de la séparation de biens, les règles relatives aux dettes envers les tiers sont les mêmes (cf. art. 202 et 249 CC dont la teneur est identique). L'art. 166 CC qui prévoit une responsabilité solidaire des époux pour les dettes contractées par un conjoint en tant que représentant de l'union conjugale est en outre applicable indépendamment du régime matrimonial. Il convient donc de relever que les règles relatives au régime matrimonial ont peu de portée en dehors d'une liquidation du régime matrimonial, d'un divorce, d'une séparation de corps ou du règlement d'une succession, de sorte que l'intérêt concret et actuel invoqué par le recourant pour ses démarches tombe à faux. Subsidiairement, le recourant invoque une violation des art. 6, 8 et 13 CEDH. Il n'expose toutefois pas en quoi le premier juge aurait violé les garanties déduites de ces dispositions, de sorte que son grief est irrecevable, faute de motivation suffisante. Compte tenu de ce qui précède, c'est à juste titre que le Vice-président du Tribunal civil a refusé d'octroyer le bénéfice de l'assistance juridique au recourant. Partant, le recours, infondé, sera rejeté.</w:t>
      </w:r>
    </w:p>
    <w:p>
      <w:r>
        <w:rPr>
          <w:b/>
        </w:rPr>
        <w:t>E. 3</w:t>
      </w:r>
    </w:p>
    <w:p>
      <w:r>
        <w:t>Sauf exceptions non réalisées en l'espèce, il n'est pas perçu de frais judiciaires pour la procédure d'assistance juridique (art. 119 al. 6 CPC). Par ailleurs, vu l'issue du recours, il n'y a pas lieu d'octroyer une indemnité de procédure au recourant, étant rappelé que selon la pratique constante de l'Autorité de céans, aucune indemnité de dépens n'est allouée en matière d'assistance judiciaire.![endif]&gt;![if&gt; * * * * * PAR CES MOTIFS, LE VICE-PRÉSIDENT DE LA COUR : A la forme : Déclare recevable le recours formé par A______ contre la décision rendue le 26 août 2015 par le Vice-président du Tribunal civil dans la cause AC/2134/2015. Au fond : Le rejette. Déboute A______ de toutes autres conclusions. Dit qu'il n'est pas perçu de frais judiciaires pour le recours, ni alloué de dépens.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