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AC/2129/2022 vom 18. Oktober 2022</w:t>
      </w:r>
    </w:p>
    <w:p>
      <w:r>
        <w:t>GE Cour de justice, 2022-10-18, FR</w:t>
      </w:r>
    </w:p>
    <w:p>
      <w:r>
        <w:rPr>
          <w:b/>
        </w:rPr>
        <w:t xml:space="preserve">Quelle: </w:t>
      </w:r>
      <w:r>
        <w:t>https://mcp.opencaselaw.ch/entscheid/ge_gerichte_AC_2129_2022</w:t>
      </w:r>
    </w:p>
    <w:p>
      <w:r>
        <w:t>FR: GE_GERICHTE AC/2129/2022 du 18 octobre 2022</w:t>
      </w:r>
    </w:p>
    <w:p>
      <w:r>
        <w:t>IT: GE_GERICHTE AC/2129/2022 del 18 ottobre 2022</w:t>
      </w:r>
    </w:p>
    <w:p>
      <w:pPr>
        <w:pStyle w:val="Heading2"/>
      </w:pPr>
      <w:r>
        <w:t>Erwägungen</w:t>
      </w:r>
    </w:p>
    <w:p>
      <w:r>
        <w:rPr>
          <w:b/>
        </w:rPr>
        <w:t>E. 24</w:t>
      </w:r>
    </w:p>
    <w:p>
      <w:r>
        <w:t>OCT. 2022 ". b. La Vice-présidente du Tribunal de première instance a renoncé à formuler des observations. c. Par pli du 11 novembre 2022, le recourant a été informé de ce que la cause était gardée à juger. EN DROIT 1. 1.1. En tant qu'elle refuse une extension de l'assistance juridique, la décision entreprise, rendue en procédure sommaire (art. 119 al. 3 CPC), est sujette à recours auprès de la présidente de la Cour de justice (art. 121 CPC et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art. 11 RAJ).![endif]&gt;![if&gt; 1.2. En l'espèce, le recours a été interjeté auprès de l'autorité compétente et en la forme prescrite par la loi. L'on peut néanmoins s'interroger sur sa recevabilité s'agissant du respect du délai de recours, dès lors que l'acte précité, daté du 3 novembre 2022, a été expédié le 4 novembre 2022 selon le cachet postal figurant sur l'enveloppe le contenant, et que la décision litigieuse, qui a été notifiée au recourant lui-même le 25 octobre 2022, semble avoir été notifiée à son représentant le 24 octobre 2022 au vu du tampon dateur figurant sur la décision jointe au recours. La question peut toutefois demeurer indécise, dès lors que le recours est infondé pour les motifs qui suivent. 1.3. 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 2. Le recourant reproche à la Vice-présidente du Tribunal d'avoir refusé l'extension de l'assistance juridique au motif que les 7h30 consacrées à la rédaction de déterminations écrites n'étaient pas nécessaires, dès lors qu'il aurait pu se déterminer par oral. ![endif]&gt;![if&gt; Il soutient qu'il appartenait au juge du fond et non pas à la Vice-présidente du Tribunal de se déterminer sur le caractère nécessaire des démarches qui devaient être entreprises dans la procédure au fond. La Vice-présidente du Tribunal aurait ainsi fait preuve d'arbitraire en refusant d'étendre l'assistance juridique et en l'empêchant par là-même de défendre sa cause dans la procédure au fond. De plus, ses déterminations étaient utiles à sa défense et nécessaires, au sens des art. 3 al. 2 et 16 RAJ, dans la mesure où elles auraient permis au juge d'appréhender le dossier, compte tenu des calculs et des nombreuses données chiffrées qu'elles comprenaient. En refusant d'étendre l'assistance juridique à ces déterminations, la Vice-présidente du Tribunal aurait violé son droit d'accès à la justice ainsi que son droit d'être entendu. 2.1. 2.1.1 A teneur de l'art. 118 al. 2 CPC, l'assistance judiciaire peut être accordée totalement ou partiellement, ce qui signifie qu'elle doit être accordée, conformément au principe de proportionnalité, à la mesure de sa véritable nécessité (Message du Conseil fédéral relatif au Code de procédure civile, FF 2006, p. 6912, ad art. 116 du projet CPC; Huber, in Kommentar zur Schweizerischen Zivilprozessordnung [ZPO], Brunner/Gasser/Schwander, 2 ème éd., 2016, n. 17 ad art. 118 CPC), soit en quelque sorte "à la carte" (Ruegg, in Basler Kommentar, Schweizerische Zivilprozessordnung, Spühler/Tenchio/Infanger, 2 ème éd., 2013, n. 2 ad art. 118 CPC). L'octroi partiel peut ainsi prendre diverses formes, selon les prestations accordées, l'étendue de celles-ci ou encore la phase de procès concernée (Tappy, in CPC, Code de procédure civile commenté, Bohnet/Haldy/Jeandin/Schweizer/Tappy, 2011,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 2.1.2 Le bénéficiaire de l'assistance juridique est en droit, sur la base de l'art. 3 al. 1 seconde phrase RAJ, de solliciter une extension de la quotité des heures d'activité d'avocat allouées, en fonction des actes de procédure encore à accomplir. Il lui appartient toutefois de justifier que l'activité de son conseil a atteint le quota d'heures autorisées et que le travail accompli par celui-ci était utile et nécessaire à sa défense (art. 3 al. 2 et 16 al. 2 RAJ; DAAJ/54/2022 du 3 juin 2022 consid. 6.1.2; DAAJ/110/2020 du 15 décembre 2020 consid. 3.1.2; DAAJ/64/2015 du 14 septembre 2015 consid. 3.2). 2.1.3 Selon les règles ordinaires de la procédure sommaire, applicables dans le cadre de mesures protectrices de l'union conjugale (art. 271 CPC), le tribunal donne à la partie adverse l'occasion de se déterminer oralement ou par écrit (art. 253 CPC). Le Tribunal peut opter pour une procédure orale avec ou sans détermination écrite ou pour une procédure purement écrite (Jent-Sørensen, in Kurzkommentar Schweizerische Zivilprozessordnung, 2021, n. 2 ad art. 253 CPC). Le défendeur n'a pas le choix entre l'un ou l'autre des modes de détermination. Il appartient exclusivement au Tribunal, faisant usage de son pouvoir d'appréciation, de définir le mode de détermination de la partie citée (Kaufmann, in Kommentar zur Schweizerischen Zivilprozessordnung, Brunner/Gasser/Schwander [éd.], 2 ème éd., 2016, n. 19 ad art. 253 CPC; Klingler, in Kommentar zur Schweizerischen Zivilprozessordnung, Sutter-Somm/Hasenböhler/Leuenberger [éd.], 3 ème éd., 2016, n. 1 ad art. 253 CPC). 2.2. En l'espèce, il ne peut être reproché à l'autorité précédente de s'être substituée au juge du fond en se déterminant sur le caractère nécessaire des déterminations écrites spontanées du recourant. En effet, c'est précisément le Tribunal qui a défini le mode de détermination du recourant, estimant lui-même, en faisant usage de son pouvoir d'appréciation, que des déterminations orales étaient suffisantes et, a fortiori , que des déterminations écrites n'étaient pas nécessaires. Il ne saurait ainsi être reproché à la Vice-Présidente du Tribunal de s'être fondée sur cette appréciation, l'autorité précitée n'ayant aucunement fait preuve d'arbitraire à cet égard. Le premier grief du recourant se révèle par conséquent mal fondé. L'autorité précédente n'a pas davantage violé l'accès à la justice du recourant, ni violé son droit d'être entendu, en refusant d'étendre l'assistance juridique aux déterminations écrites. En effet, il a été donné à celui-ci la possibilité de se déterminer par oral lors de l'audience du 9 août 2022, laquelle est couverte par l'assistance juridique, de sorte que son droit d'accès à la justice et son droit d'être entendu n'ont de prime abord aucunement été entravés. Le recourant soutient toutefois que ses déterminations écrites étaient utiles et nécessaires en tant qu'elles auraient permis au juge d'appréhender le dossier. Or, il n'explique pas en quoi il n'aurait pas été en mesure d'aboutir au même résultat oralement, et ne soutient en particulier pas que la cause revêtirait un degré de complexité tel que des déterminations écrites auraient été nécessaires pour comprendre la situation de la famille, étant rappelé qu'il appartient au Tribunal et non au recourant de choisir entre l'un ou l'autre mode de détermination. Son second grief se révèle ainsi également mal fondé. Au vu de ce qui précède, le refus de la Vice-présidente de couvrir les déterminations écrites du recourant par l'assistance juridique au motif qu'elles n'étaient pas nécessaires apparaît justifié. Ce dernier dispose donc encore d'un solde de 4h50 d'activité d'avocate, dont il n'est pas contesté qu'il serait suffisant pour prendre connaissance du rapport du SEASP, produire les pièces requises par le Tribunal, assister à la prochaine audience et préparer d'éventuelles plaidoiries orales. Il ne se justifie dès lors pas d'étendre l'assistance juridique à ce stade, comme l'a retenu à juste titre l'autorité précédente. Dans l'hypothèse où la procédure devrait se complexifier ou se prolonger et où le solde d'heures devrait in fine s'avérer insuffisant, le recourant pourra toujours solliciter une extension des heures d'activité d'avocate accordées. Au vu de ce qui précède, le recours, infondé, sera rejeté, en tant qu'il est recevable. 3. Sauf exceptions non réalisées en l'espèce, il n'est pas perçu de frais judiciaires pour la procédure d'assistance juridique (art. 119 al. 6 CPC). Compte tenu de l'issue du litige, il n'y a pas lieu à l'octroi de dépens.![endif]&gt;![if&gt; * * * * * PAR CES MOTIFS, LA VICE-PRÉSIDENTE DE LA COUR : Rejette, dans la mesure où il est recevable, le recours formé par A______ contre la décision rendue le 18 octobre 2022 par la Vice-présidente du Tribunal de première instance dans la cause AC/2129/2022.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