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AC/2126/2018 vom 10. Juli 2018</w:t>
      </w:r>
    </w:p>
    <w:p>
      <w:r>
        <w:t>GE Cour de justice, 2018-07-10, FR</w:t>
      </w:r>
    </w:p>
    <w:p>
      <w:r>
        <w:rPr>
          <w:b/>
        </w:rPr>
        <w:t xml:space="preserve">Quelle: </w:t>
      </w:r>
      <w:r>
        <w:t>https://mcp.opencaselaw.ch/entscheid/ge_gerichte_AC_2126_2018</w:t>
      </w:r>
    </w:p>
    <w:p>
      <w:r>
        <w:t>FR: GE_GERICHTE AC/2126/2018 du 10 juillet 2018</w:t>
      </w:r>
    </w:p>
    <w:p>
      <w:r>
        <w:t>IT: GE_GERICHTE AC/2126/2018 del 10 luglio 2018</w:t>
      </w:r>
    </w:p>
    <w:p>
      <w:pPr>
        <w:pStyle w:val="Heading2"/>
      </w:pPr>
      <w:r>
        <w:t>Regeste</w:t>
      </w:r>
    </w:p>
    <w:p>
      <w:r>
        <w:t>CHANCES DE SUCCÈS ; DROIT DES ÉTRANGERS ; ASSISTANCE PUBLIQUE</w:t>
      </w:r>
    </w:p>
    <w:p>
      <w:pPr>
        <w:pStyle w:val="Heading2"/>
      </w:pPr>
      <w:r>
        <w:t>Erwägungen</w:t>
      </w:r>
    </w:p>
    <w:p>
      <w:r>
        <w:rPr>
          <w:b/>
        </w:rPr>
        <w:t>E. 1.1</w:t>
      </w:r>
    </w:p>
    <w:p>
      <w:r>
        <w:t>En tant qu'elle refuse l'assistance juridique, la décision entreprise, rendue en procédure sommaire (art. 10 al. 3 LPA), est sujette à recours auprès de la présidente de la Cour de justice (art. 121 CPC, 21 al. 3 LaCC et 1 al. 3 RAJ).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et les arrêts cités; 133 III 614 consid. 5).</w:t>
      </w:r>
    </w:p>
    <w:p>
      <w:r>
        <w:rPr>
          <w:b/>
        </w:rPr>
        <w:t>E. 3.2</w:t>
      </w:r>
    </w:p>
    <w:p>
      <w:r>
        <w:t>La procédure administrative est régie par la maxime inquisitoire, selon laquelle le juge établit les faits d'office (art. 19 LPA). Sauf exception prévue par la loi, le recourant est autorisé à invoquer des motifs, des faits et des moyens de preuve nouveaux qui ne l'ont pas été dans les précédentes procédures (art. 68 LPA). 3.3.1. Lorsque les conditions d'admission sans activité lucrative ne sont pas remplies au sens de l'accord du 21 juin 1999 entre la Confédération suisse d'une part, et la Communauté européenne et ses Etats membres, d'autre part, sur la libre circulation des personnes (ALCP – RS 0.142.112.681), une autorisation de séjour peut être délivrée lorsque des motifs importants l'exigent (art. 20 OLCP). Selon la jurisprudence, le fait que l'étranger ait séjourné en Suisse durant une assez longue période, qu'il s'y soit bien intégré et que son comportement n'ait pas fait l'objet de plaintes ne suffit pas, à lui seul, à constituer de tels motifs importants; encore faut-il que la relation de l'intéressé avec la Suisse soit si étroite qu'on ne puisse exiger de lui qu'il aille vivre dans un autre pays notamment dans son pays d'origine (arrêt du Tribunal administratif fédéral C-3337/2010 du 31 janvier 2012 consid. 4.3 et la jurisprudence citée; directives de l'ODM sur l'introduction progressive de la libre circulation des personnes, version 01.05.11, ch. 8.2.7). L'intégration n'est pas réalisée lorsque la personne concernée n'arrive pas à subsister de manière indépendante et recourt à l'aide sociale pour vivre (arrêt du Tribunal administratif fédéral C-3337/2010 précité consid. 4.3). 3.3.2. La durée et la validité de l'autorisation de séjour est limitée, mais peut être prolongée s'il n'existe aucun motif de révocation au sens de l'art. 62 LEtr (art. 33 al. 1 et 3 LEtr). De tels motifs existent notamment si l'étranger ou une personne dont il a la charge dépend de l'aide sociale (art. 62 al. 1 let. e LEtr). Selon la jurisprudence du Tribunal fédéral,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2C_763/2014 du 23 janvier 2015 consid. 5.2; 2C_139/2013 du 11 juin 2013 consid. 6.2.4; 2C_685/2010 du 30 mai 2011 consid. 2.3.1).</w:t>
      </w:r>
    </w:p>
    <w:p>
      <w:r>
        <w:rPr>
          <w:b/>
        </w:rPr>
        <w:t>E. 3.4</w:t>
      </w:r>
    </w:p>
    <w:p>
      <w:r>
        <w:t>En l'espèce, à l'appui de son recours interjeté au fond, la recourante se prévaut essentiellement du fait qu'elle perçoit dorénavant des indemnités de l'assurance-invalidité et n'est plus aidée par l'Hospice général. Or, il ressort des pièces produites qu'en dépit de la décision de cessation de prestations dès le 1er avril 2018 rendue par l'Hospice général le 15 juin 2018, elle a perçu des prestations mensuelles comprises entre 2'300 fr. et 2'500 fr. en mai et juin 2018. Elle semble ainsi toujours dépendre de l'aide sociale, de sorte que son argument tombe à faux. Il s'ensuit qu'il est peu probable, faute d'exercice d'une activité lucrative et de ressources financières propres, que la Chambre administrative de la Cour de justice décide d'annuler le jugement du 28 mai 2018.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23 août 2018 par A______ contre la décision rendue le 10 juillet 2018 par le Vice-président du Tribunal civil dans la cause AC/2126/2018.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