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AC/204/2024 vom 6. Mai 2024</w:t>
      </w:r>
    </w:p>
    <w:p>
      <w:r>
        <w:t>GE Cour de justice, 2024-05-06, FR</w:t>
      </w:r>
    </w:p>
    <w:p>
      <w:r>
        <w:rPr>
          <w:b/>
        </w:rPr>
        <w:t xml:space="preserve">Quelle: </w:t>
      </w:r>
      <w:r>
        <w:t>https://mcp.opencaselaw.ch/entscheid/ge_gerichte_AC_204_2024</w:t>
      </w:r>
    </w:p>
    <w:p>
      <w:r>
        <w:t>FR: GE_GERICHTE AC/204/2024 du 6 mai 2024</w:t>
      </w:r>
    </w:p>
    <w:p>
      <w:r>
        <w:t>IT: GE_GERICHTE AC/204/2024 del 6 maggio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 teneur de l'art. 23 let. a LPP, ont droit à des prestations d'invalidité les personnes qui sont invalides à raison de 40%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(ATF 123 V 262 consid. 1a). Conformément à l'art. 26 al. 1 LPP, les dispositions de la loi fédérale sur l'assurance-invalidité s'appliquent par analogie à la naissance du droit aux prestations d'invalidité. Ainsi, si une institution de prévoyance reprend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arrêt du Tribunal fédéral des assurances B 49/05 du 23 janvier 2007 consid. 4.2).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laquelle doit être à la fois matérielle et temporelle (ATF 130 V 270 consid. 4.1).</w:t>
      </w:r>
    </w:p>
    <w:p>
      <w:r>
        <w:rPr>
          <w:b/>
        </w:rPr>
        <w:t>E. 2.3</w:t>
      </w:r>
    </w:p>
    <w:p>
      <w:r>
        <w:t>De jurisprudence constante, le contrat de soins médicaux est un mandat au sens des art. 394 ss CO (ATF 133 III 121 consid. 3.1; 132 III 155 consid. 3.1 = JdT 2006 I 295; ATF 114 Ia 350 ; 113 II 429 = JdT 1988 I 180; 105 II 284 ). La responsabilité du mandataire suppose la réunion de quatre conditions cumulatives: la violation d'un devoir de diligence, une faute, un dommage et un lien de causalité (naturelle et adéquate) entre la violation fautive du devoir de diligence et le dommage survenu (art. 97 al. 1 CO; arrêt du Tribunal fédéral 4A_267/2014 du 8 octobre 2014 consid. 2; ATF 133 III 121 consid. 3.1).</w:t>
      </w:r>
    </w:p>
    <w:p>
      <w:r>
        <w:rPr>
          <w:b/>
        </w:rPr>
        <w:t>E. 2.4</w:t>
      </w:r>
    </w:p>
    <w:p>
      <w:r>
        <w:t>. En l'espèce, il est établi que la Dresse F______ a commis plusieurs manquements à ses obligations professionnelles, dont le fait de ne pas avoir transmis les informations sollicitées à l'assureur et restitué son dossier médical à la recourante. Ces violations ont été constatées par la Commission de surveillance des professions de la santé et des droits des patients, laquelle a prononcé un avertissement à l'encontre de la praticienne. Les conditions de la violation d'un devoir de diligence et de la faute paraissent ainsi a priori données. Reste à examiner si, prima facie , un lien de causalité pourrait exister entre les manquements de la praticienne et le fait que la recourante se soit vue refuser une rente d'invalidité de la prévoyance professionnelle. En d'autres termes, se pose la question de savoir si, dans l'hypothèse où la Dresse F______ avait donné suite aux demandes de sa patiente et remis le questionnaire médical à l'OAI, ce dernier - par extension la Fondation LPP et les instances judiciaire - aurait pu retenir la survenance d'une incapacité de travail pour des motifs psychiques chez la recourante durant les rapports de prévoyance. En l'occurrence, l'unique rapport médical de la Dresse F______ figurant au dossier de l'OAI a été établi le 28 novembre 2013, soit près d'un an après la fin des rapports de prévoyance le 6 décembre 2012. Il fait état d'un symptôme dépressif sévère, dû à un harcèlement subi au travail et d'un état de stress post-traumatique, également lié au mobbing enduré. Il est le lieu de relever que la Dresse F______ ne suivait pas la recourante lorsque celle-ci était employée auprès de B______ SA, ni durant le mois ayant suivi la fin des rapports de travail. Les affections psychiques potentiellement survenues durant les rapports de prévoyance n'ont donc pas été décrites par la praticienne sur la base de constatations objectives mais sur les seuls dires de sa patiente, de sorte que ce rapport médical revêt une valeur probante limitée. En tout état, le rapport n'indique pas que la recourante aurait été en incapacité de travail durant cette période, si bien qu' a priori , il n'en aurait pas été autrement si la Dresse F______ avait répondu aux sollicitations de l'OAI. A cela s'ajoute que la recourante a elle-même, dans sa demande en paiement du 14 novembre 2017 à l'encontre de la Fondation LPP, fait valoir que son incapacité de travail d'origine psychique était apparue en mars 2013. Bien qu'elle soit par la suite revenue sur ses déclarations, les premières allégations de la recourante démontrent qu'elle-même ne considérait pas qu'avant mars 2013, la détérioration de son état psychique avait atteint une intensité telle qu'elle aurait entraîné une incapacité de gain. C'est notamment sur ce fondement que le Tribunal fédéral a débouté la recourante de ses prétentions, si bien que les constatations de la Dresse F______ n'y auraient rien changé. Enfin, l'OAI et les instances judiciaires saisies de la question n'ont pas exclusivement fondé leurs décisions sur la base des observations de la Dresse F______, mais ont retenu qu'aucun des médecins (tant ceux du SMR que ceux consultés par la recourante) n'avait constaté que la capacité de travail de la recourante avait été réduite en raison d'affections psychiques durant les rapports de prévoyance. Vu la convergence des avis médicaux figurant au dossier, l'action en responsabilité à l'encontre de la Dresse F______ apparait, à première vue, dépourvue de chance de succès. Partant, c'est de manière conforme au droit que la vice-présidence du Tribunal civil a refusé d'octroyer le bénéfice de l'assistance judiciaire à la recourante.</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25 mai 2024 par A______ contre la décision rendue le 6 mai 2024 par la vice-présidence du Tribunal de première instance dans la cause AC/204/2024.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