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AC/2039/2018 vom 28. Juni 2018</w:t>
      </w:r>
    </w:p>
    <w:p>
      <w:r>
        <w:t>GE Cour de justice, 2018-06-28, FR</w:t>
      </w:r>
    </w:p>
    <w:p>
      <w:r>
        <w:rPr>
          <w:b/>
        </w:rPr>
        <w:t xml:space="preserve">Quelle: </w:t>
      </w:r>
      <w:r>
        <w:t>https://mcp.opencaselaw.ch/entscheid/ge_gerichte_AC_2039_2018</w:t>
      </w:r>
    </w:p>
    <w:p>
      <w:r>
        <w:t>FR: GE_GERICHTE AC/2039/2018 du 28 juin 2018</w:t>
      </w:r>
    </w:p>
    <w:p>
      <w:r>
        <w:t>IT: GE_GERICHTE AC/2039/2018 del 28 giugno 2018</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w:t>
      </w:r>
    </w:p>
    <w:p>
      <w:r>
        <w:rPr>
          <w:b/>
        </w:rPr>
        <w:t>E. 2.2</w:t>
      </w:r>
    </w:p>
    <w:p>
      <w:r>
        <w:t>En l'espèce, il résulte du contrat de travail produit par la recourante que son salaire mensuel, calculé sur la base d'un traitement annuel de 80'809 fr. pour une activité de ______ remplaçante à 83.3%, s'est élevé à 6'216 fr. 10 bruts, 13 ème salaire non compris, entre les mois de décembre 2017 et juin 2018. Un montant brut de 979 fr. 30 devait en outre lui être versé en fin de contrat au titre d'heures complémentaires, soit environ 832 fr. nets. Selon les fiches de salaire produites, la recourante a perçu une rémunération mensuelle nette moyenne de 5'240 fr. entre les mois de mars et mai 2018 ([5'880 fr. 05 + 5'315 fr. 50 + 5'424 fr. 70]/3). La recourante a cependant précisé à deux reprises dans sa requête d'assistance juridique que son activité de ______ remplaçante n'était exercée et donc rétribuée que dix mois par année. Dans la mesure où aucun cours n'est dispensé durant les vacances d'été (juillet et quasiment tout le mois d'août) au niveau secondaire II, il paraît vraisemblable que la recourante n'est au bénéfice d'aucun contrat de travail pour cette période. Pour 2018, le traitement annuel net de la recourante peut ainsi être estimé à 57'599 fr., soit le salaire mensuel moyen susmentionné durant dix mois (10 x 5'240 fr. = 52'400 fr.), plus le 13 ème salaire au prorata (10 x 5'240 fr./12 = 4'367 fr. environ), à quoi s'ajoute le montant de 832 fr. à titre d'heures complémentaires. Le salaire mensuel net de la recourante pour son activité de ______ remplaçante se monte ainsi à 4'800 fr. environ (57'599 fr./12). La recourante affirme que son activité accessoire au sein de E______ Sàrl a été pratiquement nulle en 2018, en raison de son activité de remplaçante à temps complet. Cela étant, le contrat de travail fait état d'un taux de 83.3% et la recourante bénéficie en outre de deux mois en été qu'elle peut entièrement consacrer à son activité accessoire. Il est donc vraisemblable que la recourante continuera d'en retirer des revenus. Au regard de la fluctuation du résultat réalisé par E______ Sàrl en 2017 et 2016, il se justifie de tenir compte du bénéfice moyen de ladite société au cours de cette période ([12'573 fr. 05 - 5'392 fr. 73]/2 = 3'590 fr.). Le dividende mensuel que la recourante peut vraisemblablement en retirer, en sa qualité d'unique associée-gérante, peut ainsi être estimé à 300 fr. (3'590 fr./12). Les ressources mensuelles du ménage de la recourante se montent dès lors à 5'400 fr. (4'800 fr. de salaire, 300 fr. de dividendes et 300 fr. d'allocations familiales). Les charges admissibles, non contestées, totalisant 5'316 fr. 50, le budget du ménage de la recourante présente un solde positif de 83 fr. 50, montant qui est insuffisant pour financer une procédure de mesures protectrices de l'union conjugale. La condition d'indigence est dès lors remplie, contrairement à ce qu'a retenu le Vice-président du Tribunal civil. Partant, le recours sera admis et la décision querellée annulée. Les éléments du dossier ne permettent cependant pas d'examiner les chances de succès des démarches envisagées par la recourante, qui visent à modifier le jugement rendu le 23 mars 2018 par le Tribunal de première instance (art. 179 al. 1 CC). Par conséquent, la cause sera renvoyée au Vice-président du Tribunal civil pour instruction complémentaire et nouvelle décision. 3.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par A______ contre la décision rendue le 28 juin 2018 par le Vice-président du Tribunal civil dans la cause AC/2039/2018. Au fond :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l'Étude de M e Camille MAULINI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r>
        <w:rPr>
          <w:b/>
        </w:rPr>
        <w:t>E. 7</w:t>
      </w:r>
    </w:p>
    <w:p>
      <w:r>
        <w:t>al. 2 RAJ; ATF 135 I 221 consid. 5.1; arrêt du Tribunal fédéral 2C_585/2015 du 30 novembre 2015 consid. 5).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