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AC/2036/2018 vom 28. Juni 2018</w:t>
      </w:r>
    </w:p>
    <w:p>
      <w:r>
        <w:t>GE Cour de justice, 2018-06-28, FR</w:t>
      </w:r>
    </w:p>
    <w:p>
      <w:r>
        <w:rPr>
          <w:b/>
        </w:rPr>
        <w:t xml:space="preserve">Quelle: </w:t>
      </w:r>
      <w:r>
        <w:t>https://mcp.opencaselaw.ch/entscheid/ge_gerichte_AC_2036_2018</w:t>
      </w:r>
    </w:p>
    <w:p>
      <w:r>
        <w:t>FR: GE_GERICHTE AC/2036/2018 du 28 juin 2018</w:t>
      </w:r>
    </w:p>
    <w:p>
      <w:r>
        <w:t>IT: GE_GERICHTE AC/2036/2018 del 28 giugno 2018</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ainsi que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w:t>
      </w:r>
    </w:p>
    <w:p>
      <w:r>
        <w:rPr>
          <w:b/>
        </w:rPr>
        <w:t>E. 3.2</w:t>
      </w:r>
    </w:p>
    <w:p>
      <w:r>
        <w:t>En l'espèce, la recourante fait grief à l'Autorité de première instance de ne pas avoir tenu compte des frais médicaux non couverts dont elle s'acquitte mensuellement et qui se sont élevés en 2017 à 12'721 fr. 35, pièce à l'appui. Cet élément, non soumis au premier juge, est toutefois irrecevable, de même que la pièce s'y rapportant. C'est ainsi à bon droit, compte tenu des faits portés à sa connaissance, que le Vice-président du Tribunal a rejeté la requête d'assistance juridique au motif que la condition d'indigence n'était pas remplie, les revenus de la recourante dépassant de 863 fr. le minimum vital élargi en vigueur à Genève. Le recours, infondé, sera par conséquent rejeté. Cela étant, la recourante conserve la possibilité, si elle s'y estime fondée, de demander à l'Assistance juridique de reconsidérer sa décision ou de déposer une nouvelle requête d'assistance juridique, en y exposant les éventuels faits nouveaux concernant sa situation financière et en produisant tous les justificatifs y relatifs.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PAR CES MOTIFS, LE VICE-PRÉSIDENT DE LA COUR : A la forme : Déclare recevable le recours formé le 10 juillet 2018 par A______ contre la décision rendue le 28 juin 2018 par le Vice-président du Tribunal civil dans la cause AC/2036/2018. Au fond : Le rejette. Déboute A______ de toutes autres conclusions. Dit qu'il n'est pas perçu de frais judiciaires pour le recours, ni alloué de dépens. Notifie une copie de la présente décision à A______ en l'Etude de M e B______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