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AC/2030/2013 vom 13. Oktober 2014</w:t>
      </w:r>
    </w:p>
    <w:p>
      <w:r>
        <w:t>GE Cour de justice, 2014-10-13, FR</w:t>
      </w:r>
    </w:p>
    <w:p>
      <w:r>
        <w:rPr>
          <w:b/>
        </w:rPr>
        <w:t xml:space="preserve">Quelle: </w:t>
      </w:r>
      <w:r>
        <w:t>https://mcp.opencaselaw.ch/entscheid/ge_gerichte_AC_2030_2013</w:t>
      </w:r>
    </w:p>
    <w:p>
      <w:r>
        <w:t>FR: GE_GERICHTE AC/2030/2013 du 13 octobre 2014</w:t>
      </w:r>
    </w:p>
    <w:p>
      <w:r>
        <w:t>IT: GE_GERICHTE AC/2030/2013 del 13 ottobre 2014</w:t>
      </w:r>
    </w:p>
    <w:p>
      <w:pPr>
        <w:pStyle w:val="Heading2"/>
      </w:pPr>
      <w:r>
        <w:t>Regeste</w:t>
      </w:r>
    </w:p>
    <w:p>
      <w:r>
        <w:t>REMBOURSEMENT DE FRAIS(ASSISTANCE); RESTITUTION(EN GÉNÉRAL) | CPC.123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 à l'appui de faits nouveaux irrecevables -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le Service de l'assistance juridique a imparti à la recourante un délai pour fournir les éléments utiles concernant sa situation financière. En laissant sans réponse le courrier concerné, qu'elle a reçu le 19 septembre 2014, la recourante n'a apporté aucun élément permettant de retenir qu'elle n'était pas en mesure de rembourser le montant litigieux. C'est donc à bon droit que le Vice-président du Tribunal civil a prononcé la décision querellée, étant précisé que la recourante a simplement oublié de répondre au courrier susmentionné. Nonobstant ses responsabilités familiales, elle n'a, en effet, pas été empêchée sans sa faute d'y répondre en temps utile et de faire valoir les éléments pertinents relatifs à sa situation financière. Devant le Vice-président de la Cour, les faits allégués par la recourante dans son recours - au sujet de la suppression d'allocations familiales et d'un licenciement - sont nouveaux et, dès lors, ils sont irrecevables, comme retenu sous ch. 2 ci-dessus. Par conséquent, le recours sera rejeté.</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13 octobre 2014 par le Vice-président du Tribunal civil dans la cause AC/2030/2013.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