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AC/2011/2022 vom 24. August 2022</w:t>
      </w:r>
    </w:p>
    <w:p>
      <w:r>
        <w:t>GE Cour de justice, 2022-08-24, FR</w:t>
      </w:r>
    </w:p>
    <w:p>
      <w:r>
        <w:rPr>
          <w:b/>
        </w:rPr>
        <w:t xml:space="preserve">Quelle: </w:t>
      </w:r>
      <w:r>
        <w:t>https://mcp.opencaselaw.ch/entscheid/ge_gerichte_AC_2011_2022</w:t>
      </w:r>
    </w:p>
    <w:p>
      <w:r>
        <w:t>FR: GE_GERICHTE AC/2011/2022 du 24 août 2022</w:t>
      </w:r>
    </w:p>
    <w:p>
      <w:r>
        <w:t>IT: GE_GERICHTE AC/2011/2022 del 24 agosto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la pièce nouvelle produite avec le recours ne sera pas prise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 que celle-ci est susceptible d'entraîner (arrêt du Tribunal fédéral 5D_76/2012 du 11 septembre 2012 consid. 4.4 et la référence citée).</w:t>
      </w:r>
    </w:p>
    <w:p>
      <w:r>
        <w:rPr>
          <w:b/>
        </w:rPr>
        <w:t>E. 3.1.2</w:t>
      </w:r>
    </w:p>
    <w:p>
      <w:r>
        <w:t>Savoir si une résiliation donnée pendant le temps d'essai peut être considérée comme abusive au sens de l'art. 336 CO et, par voie de conséquence, annulée, est une question controversée en doctrine, que le Tribunal fédéral n'a pas définitivement tranchée jusqu'ici. Dans l'arrêt ATF 134 III 108 le Tribunal fédéral admet que cette possibilité existe, mais qu'elle doit être réservée à des situations exceptionnelles, en tenant compte de la finalité du temps d'essai (SJ 2008 I 298). Le temps d'essai, dans un contrat de travail, doit permettre aux parties de se connaître et d'apprécier concrètement si leurs attentes respectives sont satisfaites, ce qui est nécessaire pour décider si elles veulent s'engager durablement. Au moment de la conclusion du contrat, l'employeur est en principe libre de décider quel candidat il entend retenir; de la même manière, le travailleur détermine librement pour quel emploi il choisit de se porter candidat. Cette liberté est d'une certaine manière prolongée pendant le temps d'essai (ATF 134 III 108 , SJ 2008 I 298). Le but du temps d’essai est de fournir aux parties l'occasion de préparer l'établissement de rapports de travail destinés à durer, en leur permettant d'éprouver leurs relations de confiance, de déterminer si elles se conviennent mutuellement et de réfléchir avant de s'engager pour une longue période (ATF 124 V 246 consid. 3b; arrêt du Tribunal fédéral 4A_281/2007 du 18 octobre 2017, consid. 5.2). La résiliation pendant le temps d'essai, compte tenu de la finalité de celui-ci, comporte nécessairement une part d'arbitraire, qui ne constitue pas un abus de droit (ATF 134 III 108 , SJ 2008 I 298).</w:t>
      </w:r>
    </w:p>
    <w:p>
      <w:r>
        <w:rPr>
          <w:b/>
        </w:rPr>
        <w:t>E. 3.2</w:t>
      </w:r>
    </w:p>
    <w:p>
      <w:r>
        <w:t>En l'espèce, la vice-présidente du Tribunal de première instance a estimé que les prétentions de la recourante ayant des chances de succès se chiffraient tout au plus à 4'353 fr. 86 (soit 3'226 fr. 70 [d’indemnité pour licenciement abusif correspondant à un mois de salaire] + 680 fr. 31[différence entre salaire et salaire minimum genevois x 3 mois] + 446 fr. 78 [congés non payés de 3 jours]). La recourante ne conteste pas les montants retenus et ne forme aucun grief à l’encontre du raisonnement de l’autorité de première instance qui nie les chances de succès des autres prétentions. En outre, elle ne remet pas en question l’appréciation de la vice-présidente du Tribunal de première instance sur l’existence d’une disproportion entre la valeur litigieuse de 4'353 fr. 86 et l’activité importante d’avocat qui devrait être déployée pour tenter de récupérer ce montant. La prise de connaissance du dossier, ainsi que les enquêtes qui devraient être menées pour établir l’existence d’un congé abusif impliqueraient effectivement des frais de conseil importants, dépassant la valeur litigieuse de 4'353 fr. 86. Il en résulte qu’une personne avisée plaidant à ses propres frais n’engagerait pas ces dépenses. Au demeurant, les chances de succès d’obtenir une indemnité pour congé abusif de l’ordre de 3'226 fr. 70, telle que retenue par l’autorité de première instance, apparaissent discutables, dès lors que la recourante ne fait a priori pas état de circonstances exceptionnelles qui pourraient justifier l'application des art. 336 et ss CO à la résiliation intervenue pendant le temps d’essai. Le fait qu’elle ait été licenciée alors qu’elle avait atteint de bonnes performances durant deux mois et demi ne suffit pas pour retenir que le congé est abusif, l’employeuse étant libre de se défaire d’un employé pour des motifs autres que ses résultats, ce d’autant plus durant le temps d’essai. Aucun élément au dossier ne vient par ailleurs corroborer la thèse selon laquelle la recourante aurait été licenciée en raison de son absence de deux jours, cette circonstance n’ayant eu vraisemblablement aucune incidence sur l’exécution des tâches qui lui étaient confiées. C’est ainsi à bon droit que la vice-présidente du Tribunal de première instance a refusé d'octroyer l'assistance juridique à la recourante.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24 août 2022 par la vice-présidente du Tribunal de première instance dans la cause AC/2011/2022.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