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AC/2003/2009 vom 18. Juli 2011</w:t>
      </w:r>
    </w:p>
    <w:p>
      <w:r>
        <w:t>GE Cour de justice, 2011-07-18, FR</w:t>
      </w:r>
    </w:p>
    <w:p>
      <w:r>
        <w:rPr>
          <w:b/>
        </w:rPr>
        <w:t xml:space="preserve">Quelle: </w:t>
      </w:r>
      <w:r>
        <w:t>https://mcp.opencaselaw.ch/entscheid/ge_gerichte_AC_2003_2009</w:t>
      </w:r>
    </w:p>
    <w:p>
      <w:r>
        <w:t>FR: GE_GERICHTE AC/2003/2009 du 18 juillet 2011</w:t>
      </w:r>
    </w:p>
    <w:p>
      <w:r>
        <w:t>IT: GE_GERICHTE AC/2003/2009 del 18 luglio 2011</w:t>
      </w:r>
    </w:p>
    <w:p>
      <w:pPr>
        <w:pStyle w:val="Heading2"/>
      </w:pPr>
      <w:r>
        <w:t>Regeste</w:t>
      </w:r>
    </w:p>
    <w:p>
      <w:r>
        <w:t>PRINCIPE DE LA BONNE FOI | CPC.117; CPC.119</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 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w:t>
      </w:r>
    </w:p>
    <w:p>
      <w:r>
        <w:rPr>
          <w:b/>
        </w:rPr>
        <w:t>E. 2</w:t>
      </w:r>
    </w:p>
    <w:p>
      <w:r>
        <w:t>2.1. En vertu du principe de la bonne foi, l'autorité doit éviter des comportements contradictoires. Liée à la sécurité juridique, cette exigence s'applique chaque fois qu'une apparence de droit est créée par une autorité, laquelle est liée par les conséquences découlant de son activité (Auer/Malinverni/Hottelier, Droit constitutionnel suisse, vol. II, n. 1163 ; Moor, Droit administratif, vol. I, n. 5.3.2.2).</w:t>
      </w:r>
    </w:p>
    <w:p>
      <w:r>
        <w:rPr>
          <w:b/>
        </w:rPr>
        <w:t>E. 2.2</w:t>
      </w:r>
    </w:p>
    <w:p>
      <w:r>
        <w:t>En l'espèce, le recourant se prévaut du principe de la bonne foi, en soutenant que la décision de refus d'extension d'assistance juridique constitue un comportement contradictoire, au vu de la décision d'octroi du 8 février 2010. Il estime que l'assistance juridique lui a été accordée, afin de contourner la loi, puisqu'en tant que personne morale, l'association n'avait pas le droit d'en bénéficier. En conséquence, le recourant soutient que l'extension d'assistance juridique devrait lui être également accordée pour la procédure d'appel contre le jugement rendu en première instance. Il n'en demeure pas moins que la décision du 8 février 2010 précisait bien que le recourant était fondé à recevoir des conseils juridiques et à se défendre, tout en limitant l'octroi de l'assistance juridique à la première instance de la procédure opposant l'État de Genève à l'association L______. Cette décision n'a donc pas créé une apparence de droit, selon laquelle le recourant était fondé à croire qu'une assistance juridique lui serait aussi accordée, en cas d'appel contre le jugement rendu en première instance, opposant l'État de Genève à l'association précitée. Au surplus, le recourant n'émet pas de réelle critique contre la décision du Vice-président du Tribunal civil, lequel a considéré que les conditions jurisprudentielles permettant d'octroyer l'assistance judiciaire à une personne morale, n'étaient dans le cas d'espèce pas remplies. Il apparaît en particulier que le litige ne porte pas, même indirectement, sur le seul actif de la personne morale dont le recourant se dit être le principal animateur. C'est ainsi sans violer le droit que l'autorité inférieure a rejeté la requête d'extension de l'assistance juridique.</w:t>
      </w:r>
    </w:p>
    <w:p>
      <w:r>
        <w:rPr>
          <w:b/>
        </w:rPr>
        <w:t>E. 3</w:t>
      </w:r>
    </w:p>
    <w:p>
      <w:r>
        <w:t>Partant le recours doit être rejeté et les autres motifs n'ont pas à être examinés par la Cour de céans. * * * * * PAR CES MOTIFS, LE VICE-PRÉSIDENT DE LA COUR : À la forme : Déclare recevable le recours formé par A______ contre la décision rendue le 18 juillet 2011 par le Vice-président du Tribunal civil dans la cause AC/2003/2009. Au fond : Le rejette. Déboute A______ de toutes autres conclusions. Notifie une copie de la présente décision à A______ (art. 327 al. 5 CPC). Siégeant : Monsieur François CHAIX,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