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AC/1958/2013 vom 14. August 2013</w:t>
      </w:r>
    </w:p>
    <w:p>
      <w:r>
        <w:t>GE Cour de justice, 2013-08-14, FR</w:t>
      </w:r>
    </w:p>
    <w:p>
      <w:r>
        <w:rPr>
          <w:b/>
        </w:rPr>
        <w:t xml:space="preserve">Quelle: </w:t>
      </w:r>
      <w:r>
        <w:t>https://mcp.opencaselaw.ch/entscheid/ge_gerichte_AC_1958_2013</w:t>
      </w:r>
    </w:p>
    <w:p>
      <w:r>
        <w:t>FR: GE_GERICHTE AC/1958/2013 du 14 août 2013</w:t>
      </w:r>
    </w:p>
    <w:p>
      <w:r>
        <w:t>IT: GE_GERICHTE AC/1958/2013 del 14 agosto 2013</w:t>
      </w:r>
    </w:p>
    <w:p>
      <w:pPr>
        <w:pStyle w:val="Heading2"/>
      </w:pPr>
      <w:r>
        <w:t>Regeste</w:t>
      </w:r>
    </w:p>
    <w:p>
      <w:r>
        <w:t>COMPÉTENCE RATIONE MATERIAE; PROCÉDURE PÉNALE | LOJ.118A; CPP.136</w:t>
      </w:r>
    </w:p>
    <w:p>
      <w:pPr>
        <w:pStyle w:val="Heading2"/>
      </w:pPr>
      <w:r>
        <w:t>Erwägungen</w:t>
      </w:r>
    </w:p>
    <w:p>
      <w:r>
        <w:rPr>
          <w:b/>
        </w:rPr>
        <w:t>E. 1.1</w:t>
      </w:r>
    </w:p>
    <w:p>
      <w:r>
        <w:t>Le président de la Cour de justice est compétent pour connaître des recours dirigés contre les décisions rendues en matière d'assistance juridique (art. 1 al. 3 RAJ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Selon la jurisprudence, l'inefficacité et la nullité doivent être relevées d'office par toute autorité (ATF 129 V 485 consid. 2.3, 129 I 363 consid. 2 et les références), que ce soit l'autorité de recours, l'autorité qui a rendu la décision voire une tierce autorité (arrêt du Tribunal fédéral H 300/03 du 19 août 2004 consid. 3). Des vices de fond n'entraînent qu'à de rares exceptions la nullité d'une décision; en revanche, de graves vices de procédure, ainsi que l'incompétence qualifiée de l'autorité qui a rendu la décision sont des motifs de nullité (ATF 129 I 363 consid. 2 et 2.1; arrêt du Tribunal fédéral H 300/03 du 19 août 2004 consid. 3).</w:t>
      </w:r>
    </w:p>
    <w:p>
      <w:r>
        <w:rPr>
          <w:b/>
        </w:rPr>
        <w:t>E. 2.1</w:t>
      </w:r>
    </w:p>
    <w:p>
      <w:r>
        <w:t>Aux termes de l'art. 136 CPP, la direction de la procédure accorde entièrement ou partiellement l’assistance judiciaire à la partie plaignante pour lui permettre de faire valoir ses prétentions civiles, à condition que la partie plaignante soit indigente et que l’action civile ne paraisse pas vouée à l’échec.![endif]&gt;![if&gt;</w:t>
      </w:r>
    </w:p>
    <w:p>
      <w:r>
        <w:rPr>
          <w:b/>
        </w:rPr>
        <w:t>E. 2.3</w:t>
      </w:r>
    </w:p>
    <w:p>
      <w:r>
        <w:t>La question de la compétence ratione materiae pour statuer sur une requête d'assistance juridique pour déposer plainte pénale a fait l'objet, courant octobre 2013, d'un échange de vues entre la Vice-présidente de la Cour civile et la Cour pénale (art. 118A LOJ). Aux termes de cet échange et au vu des principes juridiques rappelés ci-dessus, la Présidence du Tribunal civil n'est pas l'autorité compétente pour statuer sur une requête d'assistance juridique formée pour le dépôt d'une plainte pénale, ceci relevant de l'assistance juridique pénale. Il convient dès lors de constater la nullité de la décision rendue par la Vice-présidente du Tribunal civil le 14 août 2013. La présente décision constituant un changement de pratique de la Cour ( DAAJ/52/2011 , DAAJ/98/2012 ), la requête d'assistance juridique de la recourante sera transmise au Ministère public.</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14 août 2013 par la Vice-présidente du Tribunal civil dans la cause AC/1958/2013. Au fond : Le rejette. Constate la nullité de la décision rendue par la Vice-présidente du Tribunal civil le 14 août 2013. Transmet la requête d'assistance juridique de A______ au Ministère public du canton de Genève.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