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AC/1949/2019 vom 9. August 2019</w:t>
      </w:r>
    </w:p>
    <w:p>
      <w:r>
        <w:t>GE Cour de justice, 2019-08-09, FR</w:t>
      </w:r>
    </w:p>
    <w:p>
      <w:r>
        <w:rPr>
          <w:b/>
        </w:rPr>
        <w:t xml:space="preserve">Quelle: </w:t>
      </w:r>
      <w:r>
        <w:t>https://mcp.opencaselaw.ch/entscheid/ge_gerichte_AC_1949_2019</w:t>
      </w:r>
    </w:p>
    <w:p>
      <w:r>
        <w:t>FR: GE_GERICHTE AC/1949/2019 du 9 août 2019</w:t>
      </w:r>
    </w:p>
    <w:p>
      <w:r>
        <w:t>IT: GE_GERICHTE AC/1949/2019 del 9 agosto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En matière de contribution due pour l'entretien d'un enfant, l'art. 286 al. 2 CC prévoit que si la situation change notablement - par exemple en cas de modification importante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(ATF 137 III 604 consid. 4.1.1; 120 II 177 consid. 3a; arrêt du Tribunal fédéral 5A_760/2016 du 5 septembre 2017 consid. 5.1).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(ATF 141 III 376 consid. 3.3.1; 137 III 604 consid. 4.1.1; 131 III 189 consid. 2.7.4; 129 III 60 consid. 2 et les références; arrêts du Tribunal fédéral 5A_235/2016 du 15 août 2016 consid. 3.1; 5A_745/2015 du 15 juin 2016 consid. 4.1.1; 5A_155/2015 du 18 juin 2015 consid. 3.1).</w:t>
      </w:r>
    </w:p>
    <w:p>
      <w:r>
        <w:rPr>
          <w:b/>
        </w:rPr>
        <w:t>E. 3.1.3</w:t>
      </w:r>
    </w:p>
    <w:p>
      <w:r>
        <w:t>La décision portant sur la ratification ou non d'une "clause péril" et sur l'instauration de mesures de protection de l'enfant pour la durée de la procédure devant le Tribunal de protection de l'adulte et de l'enfant constitue, de par sa nature, des mesures provisionnelles (arrêt du Tribunal fédéral 5A_198/2016 consid. 2 et références citées).</w:t>
      </w:r>
    </w:p>
    <w:p>
      <w:r>
        <w:rPr>
          <w:b/>
        </w:rPr>
        <w:t>E. 3.2</w:t>
      </w:r>
    </w:p>
    <w:p>
      <w:r>
        <w:t>En l'espèce, le recourant ne démontre pas l'existence de faits nouveaux importants et durables. Le placement provisoire de sa fille au foyer E______ ne peut, en l'état, être considéré comme revêtant un caractère durable dès lors qu'il repose sur une décision de nature provisionnelle, à savoir la ratification d'une clause péril, et que la situation sera réévaluée après la réception du rapport des curateurs de l'enfant, soit d'ici au 2 décembre 2019. Dès lors, faute de caractère durable, les conditions fixées par l'art. 286 al. 2 CC ne paraissent, prima facie , pas remplies, de sorte que la décision du premier juge est conforme au droit. Par conséquent, le recours, mal 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26 août 2019 par A______ contre la décision rendue le 9 août 2019 par le Vice-président du Tribunal civil dans la cause AC/1949/2019. Au fond : Le rejette. Déboute A______ de toutes autres conclusions. Dit qu'il n'est pas perçu de frais judiciaires pour le recours. Notifie une copie de la présente décision à A______ en l'Étude de M e Magali BUSER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