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AC/1948/2022 vom 26. Juli 2022</w:t>
      </w:r>
    </w:p>
    <w:p>
      <w:r>
        <w:t>GE Cour de justice, 2022-07-26, FR</w:t>
      </w:r>
    </w:p>
    <w:p>
      <w:r>
        <w:rPr>
          <w:b/>
        </w:rPr>
        <w:t xml:space="preserve">Quelle: </w:t>
      </w:r>
      <w:r>
        <w:t>https://mcp.opencaselaw.ch/entscheid/ge_gerichte_AC_1948_2022</w:t>
      </w:r>
    </w:p>
    <w:p>
      <w:r>
        <w:t>FR: GE_GERICHTE AC/1948/2022 du 26 juillet 2022</w:t>
      </w:r>
    </w:p>
    <w:p>
      <w:r>
        <w:t>IT: GE_GERICHTE AC/1948/2022 del 26 luglio 2022</w:t>
      </w:r>
    </w:p>
    <w:p>
      <w:pPr>
        <w:pStyle w:val="Heading2"/>
      </w:pPr>
      <w:r>
        <w:t>Erwägungen</w:t>
      </w:r>
    </w:p>
    <w:p>
      <w:r>
        <w:rPr>
          <w:b/>
        </w:rPr>
        <w:t>E. 1.1</w:t>
      </w:r>
    </w:p>
    <w:p>
      <w:r>
        <w:t>La décision entreprise est sujette à recours auprès de la présidente de la Cour de justice en tant qu'elle refuse l'assistance juridique (art. 10 al. 3 LPA). Le recours, écrit et motivé, est introduit auprès de l'instance de recours dans un délai de 30 jours (art. 10 al. 3 LPA, 130, 131 et 321 al. 1 CPC, applicables par renvoi des art. 10 al. 4 LPA et 8 al. 3 RAJ;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2.1.1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2.1.2.1</w:t>
      </w:r>
    </w:p>
    <w:p>
      <w:r>
        <w:t>Selon l'art. 64 al. 2 LPA, le recours adressé à une autorité incompétente est transmis d'office à la juridiction administrative compétente et le recourant en est averti. L'acte est réputé déposé à la date à laquelle il a été adressé à la première autorité. D'après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 ATA/850/2022 du 23 août 2022 consid. 2a). A lui seul, l'intitulé erroné d'un recours ne nuit pas à son auteur, pour autant que les conditions d'une conversion en la voie de droit adéquate soient réunies (ATF 134 III 379 consid. 1.2; arrêt du Tribunal fédéral 2D_58/2019 du 28 octobre 2019 consid. 3; cf. également, en matière administrative, décision ATA/840/2019 du 30 avril 2019 dans laquelle un acte intitulé "demande de reconsidération" a été traité comme un recours).</w:t>
      </w:r>
    </w:p>
    <w:p>
      <w:r>
        <w:rPr>
          <w:b/>
        </w:rPr>
        <w:t>E. 2.1.2.2</w:t>
      </w:r>
    </w:p>
    <w:p>
      <w:r>
        <w:t>Selon l'art. 36A al. 1 LPCC, ont droit aux prestations complémentaires familiales les personnes qui, cumulativement: ont leur domicile et leur résidence habituelle sur le territoire de la République et canton de Genève depuis cinq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d'État définissant les exceptions (let. d); répondent aux autres conditions prévues par la loi (let. e). Aux termes de l'art. 36A al. 4 LPCC pour bénéficier des prestations susmentionnées, le taux de l'activité lucrative mentionnée à l'art. 36A al. 1 let. c, doit être, par année, au minimum de  40 % lorsque le groupe familial comprend une personne adulte (al. 4 let. a). Selon l'art. 11 du règlement relatif aux prestations complémentaires familiales (RPCFam - J 4 25.04), le taux d'activité lucrative déterminant, exigé par l'art. 36A al. 4 de la loi, est calculé sur une base de 40 heures de travail par semaine (al. 1). Pour un contrat de travail de durée indéterminée, le taux d'activité en vigueur au moment du dépôt de la demande de prestations est déterminant (al. 2). Pour un contrat de travail de durée déterminée, lorsque les taux d'activité lucrative prévus à l'art. 36A al. 4 de la loi ne sont pas réalisés au moment du dépôt de la demande, le taux d'activité annualisé réalisé au cours des 6 mois qui précèdent la demande de prestations est pris en compte (al. 3). Le taux d'activité déterminé en vertu de l'al. 3 est valable jusqu'à l'échéance fixée dans le contrat de travail en vigueur au moment du dépôt de la demande. Dès l'entrée en vigueur d'un nouveau contrat de travail de durée déterminée, le taux est recalculé en application de l'al. 3 ». Les heures supplémentaires effectuées sont prises en compte dans la détermination du taux d'activité réalisé en vue d'examiner si le seuil légal de 40% permettant l’octroi de prestations familiales est atteint (cf. notamment ATAS/534/2017 du 26 juin 2017 consid. 9).</w:t>
      </w:r>
    </w:p>
    <w:p>
      <w:r>
        <w:rPr>
          <w:b/>
        </w:rPr>
        <w:t>E. 2.2</w:t>
      </w:r>
    </w:p>
    <w:p>
      <w:r>
        <w:t>En l'espèce, le courrier de la recourante du 8 avril 2022 – parvenu au SPC dans le délai de recours de 30 jours et finalement transmis à la Chambre des assurances sociales, pour raison de compétence, le 10 juin 2022 – désigne la décision sur opposition du SPC du 18 mars 2022 et contient les griefs dirigés à l'encontre de ladite décision au sujet du taux d'activité retenu. Au regard du caractère peu formaliste des règles de procédure applicables, il ne paraît a priori pas improbable que la Chambre des assurances sociales traite ce courrier – rédigé par une justiciable alors non représentée par un avocat – comme un recours, bien qu'il soit intitulé "demande de remise" . Par ailleurs, au vu de la jurisprudence rappelée ci-dessus, la recourante fait à juste titre valoir que son temps de travail doit être annualisé en tenant compte des heures supplémentaires effectuées, afin de déterminer si elle a atteint le taux d'activité minimal de 40% requis par la loi pour pouvoir bénéficier des prestations complémentaires. Dans la mesure où le certificat de salaire 2021 de la recourante indique (contrairement à l'attestation établie précédemment par l'employeur) que le taux d'occupation de l'intéressée était de 40% durant l'année en question, le recours formé contre la décision du SPC du 18 mars 2022 ne paraît, à première vue, pas dépourvu de toute chance de succès. Partant, la décision présentement querellée sera annulée et la cause renvoyée à l'autorité de première instance pour examen de la condition d'indigence et nouvelle décision.</w:t>
      </w:r>
    </w:p>
    <w:p>
      <w:r>
        <w:rPr>
          <w:b/>
        </w:rPr>
        <w:t>E. 3</w:t>
      </w:r>
    </w:p>
    <w:p>
      <w:r>
        <w:t>Sauf exceptions non réalisées en l'espèce, il n'est pas perçu de frais judiciaires pour la procédure d'assistance juridique (art. 119 al. 6 CPC).![endif]&gt;![if&gt; La recourante n’ayant pas conclu à l’octroi de dépens (cf. pour le CPC : ATF 139 III 334 consid. 4.3; pour la LPA : art. 87 al. 2 LPA), aucune indemnité ne sera octroyée à ce titre.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