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AC/1935/2013 vom 23. September 2014</w:t>
      </w:r>
    </w:p>
    <w:p>
      <w:r>
        <w:t>GE Cour de justice, 2014-09-23, FR</w:t>
      </w:r>
    </w:p>
    <w:p>
      <w:r>
        <w:rPr>
          <w:b/>
        </w:rPr>
        <w:t xml:space="preserve">Quelle: </w:t>
      </w:r>
      <w:r>
        <w:t>https://mcp.opencaselaw.ch/entscheid/ge_gerichte_AC_1935_2013</w:t>
      </w:r>
    </w:p>
    <w:p>
      <w:r>
        <w:t>FR: GE_GERICHTE AC/1935/2013 du 23 septembre 2014</w:t>
      </w:r>
    </w:p>
    <w:p>
      <w:r>
        <w:t>IT: GE_GERICHTE AC/1935/2013 del 23 settembre 2014</w:t>
      </w:r>
    </w:p>
    <w:p>
      <w:pPr>
        <w:pStyle w:val="Heading2"/>
      </w:pPr>
      <w:r>
        <w:t>Regeste</w:t>
      </w:r>
    </w:p>
    <w:p>
      <w:r>
        <w:t>DÉNUEMENT</w:t>
      </w:r>
    </w:p>
    <w:p>
      <w:pPr>
        <w:pStyle w:val="Heading2"/>
      </w:pPr>
      <w:r>
        <w:t>Erwägungen</w:t>
      </w:r>
    </w:p>
    <w:p>
      <w:r>
        <w:rPr>
          <w:b/>
        </w:rPr>
        <w:t>E. 1.1</w:t>
      </w:r>
    </w:p>
    <w:p>
      <w:r>
        <w:t>Les décisions de remboursement prises par le vice-président du Tribunal civil en matière d'assistance judiciaire peuvent faire l'objet d'un recours auprès du président de la Cour de justice (articles 10 al. 4 LPA, 11 et 19 al. 5 RAJ), compétence déléguée au vice-président soussigné (art. 29 al. 5 LOJ ; arrêt du Tribunal fédéral 2D_6/2012 du 31 juillet 2012 consid. 2). Le recours, écrit et motivé, est introduit auprès de l'instance de recours dans un délai de 10 jours (art. 130, 131 et 321 al. 1 et 2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 étant précisé que l'examen du recours permet aisément de comprendre que la recourante conclut, en réalité, à l'annulation de la décision querellée.</w:t>
      </w:r>
    </w:p>
    <w:p>
      <w:r>
        <w:rPr>
          <w:b/>
        </w:rPr>
        <w:t>E. 1.3</w:t>
      </w:r>
    </w:p>
    <w:p>
      <w:r>
        <w:t>Lorsque la Cour est saisie d'un recours, son pouvoir d'examen est limité à la violation du droit et à la constatation manifestement inexacte des faits (art. 320 CPC, applicable par renvoi de l'art. 8 al. 3 RAJ et 10 al. 4 LPA;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Compte tenu de l'issue du litige, il ne se justifie pas de procéder à l'audition de la recourante, que cette dernière ne sollicite au demeurant pas (art. 10 al. 3 LPA ; arrêt du Tribunal fédéral 2D_6/2012 du 31 juillet 2012 consid. 3).</w:t>
      </w:r>
    </w:p>
    <w:p>
      <w:r>
        <w:rPr>
          <w:b/>
        </w:rPr>
        <w:t>E. 2.1</w:t>
      </w:r>
    </w:p>
    <w:p>
      <w:r>
        <w:t>À teneur de l'art. 123 CPC, applicable par renvoi de l'art. 8 al. 3 RAJ et 10 al. 4 LPA, une partie est tenue de rembourser l'assistance juridique dès qu'elle est en mesure de le faire (al. 1). La créance du canton se prescrit par dix ans à compter de la fin du procès (al. 2).![endif]&gt;![if&gt;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À l'issue de la procédure, le remboursement des prestations de l'État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l'État, la personne bénéficiaire est condamnée, à l'issue de la procédure, au paiement des frais dont elle a été exonérée et au remboursement des montants versés par l'État, sous déduction des mensualités déjà payées (art. 19 al. 1 RAJ). La somme due à ce titre ne peut excéder l'équivalent de 60 mensualités si la situation de la personne bénéficiaire ne s'est pas améliorée (art. 19 al. 2 RAJ).</w:t>
      </w:r>
    </w:p>
    <w:p>
      <w:r>
        <w:rPr>
          <w:b/>
        </w:rPr>
        <w:t>E. 2.2</w:t>
      </w:r>
    </w:p>
    <w:p>
      <w:r>
        <w:t>En l'espèce, dans l'établissement des charges de la recourante, il convient de tenir compte d'une majoration de 20% du montant de base selon les normes de l'Office des poursuites, conformément à la jurisprudence constante de l'Autorité de céans ( DAAJ/19/2012 , DAAJ/115/2011 et les références citées). Le budget de la recourante présente donc un déficit mensuel de 93 fr. 90. Par conséquent, celle-ci n'est pas en mesure d'acquitter le montant litigieux sans porter atteinte à ses besoins fondamentaux. Partant, le recours sera admis et la décision querellée sera annulée.</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23 septembre 2014 par le Vice-président du Tribunal civil dans la cause AC/1935/2013. Au fond : Annule la décision querellée.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Indication des voies de recours : Conformément aux art. 82 ss de la loi fédérale sur le Tribunal fédéral du 17 juin 2005 (LTF :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