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AC/1924/2016 vom 29. Juni 2016</w:t>
      </w:r>
    </w:p>
    <w:p>
      <w:r>
        <w:t>GE Cour de justice, 2016-06-29, FR</w:t>
      </w:r>
    </w:p>
    <w:p>
      <w:r>
        <w:rPr>
          <w:b/>
        </w:rPr>
        <w:t xml:space="preserve">Quelle: </w:t>
      </w:r>
      <w:r>
        <w:t>https://mcp.opencaselaw.ch/entscheid/ge_gerichte_AC_1924_2016</w:t>
      </w:r>
    </w:p>
    <w:p>
      <w:r>
        <w:t>FR: GE_GERICHTE AC/1924/2016 du 29 juin 2016</w:t>
      </w:r>
    </w:p>
    <w:p>
      <w:r>
        <w:t>IT: GE_GERICHTE AC/1924/2016 del 29 giugno 2016</w:t>
      </w:r>
    </w:p>
    <w:p>
      <w:pPr>
        <w:pStyle w:val="Heading2"/>
      </w:pPr>
      <w:r>
        <w:t>Regeste</w:t>
      </w:r>
    </w:p>
    <w:p>
      <w:r>
        <w:t>DÉNUEMENT; DÉCISION DE RENVOI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L'État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9C_701/2009 du 1 er mars 2010 consid. 4.2.2).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4P_158/2002 du 16 août 2002 et les références citées). Cette réserve peut être aussi bien composée d'espèces, de biens mobiliers ou immobiliers que d'une assurance-vie ( DAAJ/14/2013 ; Donzallaz, Loi sur le Tribunal fédéral : commentaire, Berne 2008, n. 1815 ad art. 64 LTF). Concernant le défendeur à une action, les chances de succès de la cause s'examinent de la même manière que pour un demandeur, à moins que la procédure ne commande de spécifiquement prendre en compte son rôle de partie (Arrêt du Tribunal fédéral 5A_590/2009 du 6 janvier 2010 consid. 3.1.3), notamment dans les causes relatives au droit de la famille (Bühler, Kommentar zur schweizerischen Privatrecht, Berner Kommentar , 2012, n. 233b et 241a ad art. 117 ZPO). En effet, il peut également être exigé du défendeur qu'il ne procède pas de manière inutile (cf. arrêt précité ; Bühler, op. cit. ).</w:t>
      </w:r>
    </w:p>
    <w:p>
      <w:r>
        <w:rPr>
          <w:b/>
        </w:rPr>
        <w:t>E. 2.2</w:t>
      </w:r>
    </w:p>
    <w:p>
      <w:r>
        <w:t>En l'espèce, les revenus de la recourante, qui s'élèvent à 2'650 fr. par mois, lui permettent essentiellement de payer son loyer de 2'557 fr. (2'650 fr. – 2'557 = 93 fr.). Ils ne suffisent en revanche pas pour couvrir son entretien de base (1'200 fr. selon les normes d'insaisissabilité de l'office des poursuites), de sorte qu'elle a un manco de plus de 1'000 fr. par mois. La recourante, qui dispose d'économies d'environ 30'000 fr., a donc besoin de cet argent pour assumer son entretien. Dès lors que la recourante est âgée de 62 ans, qu'elle est bénéficiaire de l'assurance-invalidité et qu'elle a besoin de ses économies pour son entretien, sa fortune constitue une réserve de secours qui n'a pas à être mise à contribution par la recourante pour financer sa défense. Par conséquent, la décision querellée sera annulée. Étant donné que l'autorité de première instance ne s'est pas prononcée sur les chances de succès de la recourante dans la procédure d'annulation de poursuite, il convient de lui renvoyer la cause pour nouvelle décision, après examen de celles-ci.</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29 juin 2016 par le Vice-président du Tribunal civil dans la cause AC/1924/2016. Au fond : Annule la décision entreprise. Cela fait, statuant à nouveau : Renvoie la cause à l'autorité de première instance pour nouvelle décision après examen des chances de succès de la recourante dans la procédure en annulation de poursuite C/6764/2016.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