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AC/1902/2024 vom 11. Oktober 2024</w:t>
      </w:r>
    </w:p>
    <w:p>
      <w:r>
        <w:t>GE Cour de justice, 2024-10-11, FR</w:t>
      </w:r>
    </w:p>
    <w:p>
      <w:r>
        <w:rPr>
          <w:b/>
        </w:rPr>
        <w:t xml:space="preserve">Quelle: </w:t>
      </w:r>
      <w:r>
        <w:t>https://mcp.opencaselaw.ch/entscheid/ge_gerichte_AC_1902_2024</w:t>
      </w:r>
    </w:p>
    <w:p>
      <w:r>
        <w:t>FR: GE_GERICHTE AC/1902/2024 du 11 octobre 2024</w:t>
      </w:r>
    </w:p>
    <w:p>
      <w:r>
        <w:t>IT: GE_GERICHTE AC/1902/2024 del 11 ottobre 2024</w:t>
      </w:r>
    </w:p>
    <w:p>
      <w:pPr>
        <w:pStyle w:val="Heading2"/>
      </w:pPr>
      <w:r>
        <w:t>Erwägungen</w:t>
      </w:r>
    </w:p>
    <w:p>
      <w:r>
        <w:rPr>
          <w:b/>
        </w:rPr>
        <w:t>E. 1</w:t>
      </w:r>
    </w:p>
    <w:p>
      <w:r>
        <w:t>1.1.1. La décision entreprise AJC/5495/2024 , dans la cause AC/1902/2024, est sujette à recours auprès de la présidence de la Cour de justice en tant qu'elle a refusé l'assistance juridique dans la cause pendante au Tribunal opposant le recourant à J______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 Le recourant n'a pas conclu à l'annulation de la décision de la vice-présidence du Tribunal civil du 11 octobre 2024, ni à l'octroi de l'assistance juridique, puisqu'il a repris ses conclusions au fond, ce qui pose la question de la recevabilité de ses conclusions devant la vice-présidente de la Cour. Lorsqu'une partie agit en personne et que son acte ne contient pas de conclusion claire concernant la décision incidente attaquée et le refus d'assistance judiciaire qu'elle comporte, il convient de ne pas se montrer trop formaliste quant aux exigences liées à la motivation, ainsi que dans la formulation des conclusions, et admettre la recevabilité du recours s'il ressort implicitement de celui-ci que le recourant demande l'annulation de la décision attaquée et l'octroi de l'assistance judiciaire pour une procédure judiciaire. En revanche, s'il prend d'autres conclusions, celles-ci sont irrecevables, car elles sont hors objet de la contestation (arrêt du Tribunal fédéral 2C_10112/2018 du 19 janvier 2019 consid. 1.4 et 1.5 en relation avec l'art. 42 LTF). 1.1.2. En l'espèce, le recourant a explicitement formé recours contre la décision de la vice-présidence du Tribunal civil du 11 octobre 2024 en raison du refus de sa requête d'assistance juridique dans la cause AC/10______/2024. Son recours, écrit et motivé, a été interjeté dans le délai utile. Il n'a certes pas conclu explicitement à l'annulation de cette décision, ni à l'octroi de l'assistance juridique, mais il a critiqué les motifs de la décision de première instance, de sorte qu'il convient d'admettre la recevabilité de son recours, puisqu'il a agi en personne, sans disposer de connaissances juridiques, et que les autres conditions du recours sont remplies.</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produit des pièces nouvelles (F.a. ci-dessus).</w:t>
      </w:r>
    </w:p>
    <w:p>
      <w:r>
        <w:rPr>
          <w:b/>
        </w:rPr>
        <w:t>E. 2.1</w:t>
      </w:r>
    </w:p>
    <w:p>
      <w:r>
        <w:t>A teneur de l'art. 326 al. 1 CPC, les conclusions et les allégations de faits nouvelles sont irrecevables dans le cadre d'une procédure de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les pièces nouvellement produites à l'appui du recours, ainsi que les faits y relatifs, ne seront pas pris en considération, soit parce qu'ils sont postérieurs à la décision entreprise, soit parce qu'ils sont antérieurs à celle-ci et n'ont pas été soumis à l'Autorité de première instance.</w:t>
      </w:r>
    </w:p>
    <w:p>
      <w:r>
        <w:rPr>
          <w:b/>
        </w:rPr>
        <w:t>E. 3</w:t>
      </w:r>
    </w:p>
    <w:p>
      <w:r>
        <w:t>Le recourant reproche au Greffe de l'assistance juridique (ci-après : GAJ) d'avoir jugé la cause en violation de son droit à un procès équitable, selon l'art. 29 Cst et la CEDH. En l'espèce, il soutient à tort que le Greffe de l'assistance juridique [recte : la vice-présidence du Tribunal civil] se serait substituée au Tribunal. En effet, la vice-présidence du Tribunal civil a examiné sommairement, conformément aux principes applicables en la matière, les chances de succès de la demande en paiement du recourant à l'encontre de J______ par-devant le Tribunal. Or, il incombe précisément à cette autorité d'examiner si un justiciable ne conduit pas, aux frais de l'Etat, des procédures dénuées de chances de succès ( DAAJ/12/2025 du 27 janvier 2025). Ce grief est, dès lors, infondé.</w:t>
      </w:r>
    </w:p>
    <w:p>
      <w:r>
        <w:rPr>
          <w:b/>
        </w:rPr>
        <w:t>E. 4</w:t>
      </w:r>
    </w:p>
    <w:p>
      <w:r>
        <w:t>Le recourant critique la décision entreprise, à son sens rendue uniquement sur la base des déclarations des assurances, sans avoir pris en compte son point de vue, en violation de son droit d'être entendu et du principe de la bonne foi (art. 2 CC). 4.1.1. 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arrêt du Tribunal fédéral 5A_547/2024 du 4 novembre 2024 consid. 3.2). 4.1.2. En l'espèce, le recourant a pu faire valoir, devant l'Autorité de première instance, les raisons pour lesquelles l'assistance juridique devrait prendre en charge les frais de procédure de son action en paiement à l'encontre de PWA, puisque le dossier qu'il a soumis à ladite Autorité comprend, notamment, son action en paiement du 25 juin 2024, son argumentation et les pièces y relatives, dont les nombreux échanges de courriels avec les assureurs. Par conséquent, le grief relatif à la violation de son droit d'être entendu est infondé. 4.2.1. Aux termes de l'art. 5 al. 3 Cst. – disposition plus appropriée que l'art 2 al. 1 CC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144 IV 189 consid. 5.1; 138 I 49 consid. 8.3.1; 136 I 254 consid. 5.2; 135 IV 212 consid. 2.6; arrêts du Tribunal fédéral 5A_362/2024 du 19 septembre 2024 consid. 6.1.1; 5D_166/2023 du 17 avril 2024 consid. 3.1). 4.2.2. En l'espèce, il a été retenu ci-dessus que l'Autorité de première instance avait pris en considération le point de vue du recourant. Ensuite, elle a également évalué la pertinence de l'argumentation des assureurs. Enfin, elle a pris position sur les chances de succès de la demande en paiement du recourant. Ce faisant, elle n'a pas violé le principe de la bonne foi en retenant que la thèse des assureurs lui paraissait davantage fondée que celle du recourant, exerçant ainsi son pouvoir d'appréciation, dans le respect de ses attributions. Le grief relatif à la violation du principe de la bonne foi est infondé.</w:t>
      </w:r>
    </w:p>
    <w:p>
      <w:r>
        <w:rPr>
          <w:b/>
        </w:rPr>
        <w:t>E. 5</w:t>
      </w:r>
    </w:p>
    <w:p>
      <w:r>
        <w:t>Le recourant explique que J______/M______ est une assurance de voyages, non concernée selon lui par l'assurance multiple. Il n'a pas mentionné G______ comme autre assureur parce qu'elle avait résilié la police d'assurance. Il s'était, par conséquent, adressé à E______, qu'il considère comme étant son unique assureur. De plus, l'omission relative à l'existence d'autres assureurs n'avait aucun sens, puisqu'il leur avait accordé l'autorisation de communiquer entre eux au sujet du sinistre. Il reproche à la vice-présidence du Tribunal civil d'avoir retenu, en l'absence de toute preuve, l'omission intentionnelle des notifications aux assureurs, respectivement la conclusion d'assurances multiples, dans l'intention de se procurer un profit illicite. Se prévalant de son intégrité, au vu de ses formations, il refuse de passer de la catégorie de " simple assuré " à celle de " fraudeur confirmé ". A son sens, les assureurs ont agi de manière déloyale en réglant ce litige entre eux, au moyen de l'autorisation donnée d'échanger au sujet du sinistre. Il conteste l'application des jurisprudences citées par l'Autorité de première instance, qui s'écartent à son sens de sa situation juridique, car il assumerait les frais de justice, s'il disposait de moyens financiers. 5.1.1 . Sous le titre marginal " prétention frauduleuse ",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(arrêt du Tribunal fédéral 4A_536/2020 du 19 janvier 2021 consid. 5.1).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 citées). L'assureur peut alors refuser toute prestation, même si la fraude se rapporte à une partie seulement du dommage (arrêt du Tribunal fédéral 4A_536/2020 du 19 janvier 2021 consid. 5.1 et les références citées). Par exemple, le fait d’indiquer, dans un premier temps, qu’un tableau se trouvant dans un véhicule volé valait 5'000 fr., avant d’admettre qu’il n’avait été acheté que pour 3'000 fr., constitue un mensonge qui peut entraîner l’application de l’art. 40 LCA. Néanmoins, si l’assurance vol pour les objets transportés dans la voiture assurée se limitait à 2'000 fr., cette indication mensongère n’était pas de nature à influencer l’étendue de l’obligation de l’assureur. Les conditions d’application de cette disposition ne sont pas réunies (Guyaz, Commentaire romand, 2022, n. 49 ad art. 40 LCA). La résolution du contrat, laquelle produit des effets ex tunc , ne rétroagit qu’au jour de la fraude et non pas à celui de la conclusion du contrat (Guyaz, op. cit. n. 32 ad art. 40 LCA). 5.1.2. Selon l'art. 46b LCA,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(al. 1). Si le preneur d’assurance a omis cette notification intentionnellement, ou s’il a conclu l’assurance multiple dans l’intention de se procurer un profit illicite, les entreprises d’assurance ne sont pas liées envers lui par le contrat (al. 3). Selon l'art. 46c al. 1 LCA, s’il y a assurance multiple, chaque entreprise d’assurance répond du dommage dans la proportion qui existe entre la somme assurée par elle et le montant total des sommes assurées. Le preneur d’assurance ne doit pas se trouver enrichi à la suite de l’événement dommageable. Seul le préjudice économique subi doit être réparé. Ainsi, l’indemnité à verser par l’assureur ne doit pas dépasser le montant du dommage. La réglementation légale de l’assurance multiple découle de ce principe. Bien que la loi n’interdise pas l’assurance multiple, l’art. 46b LCA, en lien avec l’art. 46c al. 1 LCA, empêche le bénéficiaire de s’enrichir par le cumul de deux ou plusieurs indemnités. L’art. 46b LCA régit dès lors uniquement les conséquences juridiques en cas de mauvaise foi du preneur d’assurance ou d’omission de se soumettre à son devoir d’aviser l’assureur de l’existence de l’assurance multiple (Poupon/Tissot-Daguette, Commentaire romand, n. 2 ad art. 46b LCA). Il y a assurance multiple lorsque la totalité des sommes d’assurance est supérieure au montant du dommage (Poupon/Tissot-Daguette, op. cit., n. 10 ad art. 46b LCA). Pour qu’il y ait assurance multiple, il est nécessaire que l’intérêt assuré, soit l’objet de l’assurance, soit identique auprès de chaque assureur (Poupon/Tissot-Daguette, op. cit., n. 14 ad art. 46b LCA). L’existence d’une assurance multiple est subordonnée à la condition que le risque assuré par les divers assureurs soit identique. Les contrats ne doivent cependant pas obligatoirement appartenir aux mêmes secteurs d’assurance ni avoir la même étendue de couverture (Poupon/Tissot-Daguette, op. cit., n. 16 ad art. 46b LCA). Par exemple, l’inventaire du ménage d’un preneur d’assurance est couvert par une assurance inventaire du ménage d’une somme d’assurance de 100 fr. contre le feu, l’eau, le vol, etc. Pendant un déménagement, le même mobilier de ménage est assuré contre le vol par l’assurance transport d'une entreprise avec une somme d’assurance de 150 fr. entre autres. Il y a assurance multiple (uniquement) en relation avec le risque assuré de vol (Boll/Stadelmann, Commentaire bâlois, 2023, n. 24 ad art. 46b LCA). Lorsque l’un des contrats d’assurance est suspendu, que ce soit pour une cause légale ou contractuelle, par exemple en cas de défaut de paiement de la prime d’assurance, l’assurance multiple subsiste toujours, de même que les conséquences qui en découlent. En effet, l’art. 46b al. 3 LCA n’exige pas que le preneur d’assurance puisse bénéficier d’un avantage patrimonial, ni même l’éventualité d’un tel bénéfice. Il suffit que les conditions subjectives de l’art. 46b al. 3 LCA soient réalisées, à savoir la volonté de se procurer un enrichissement, même si ce dernier n’est objectivement pas possible (Poupon/Tissot-Daguette, op. cit., n. 19 ad art. 46b LCA). Ce n’est que si l’ensemble des sommes d’assurance est supérieur à la valeur réelle de l’objet assuré qu’il sera question d’assurance multiple. Si cette condition n’est pas remplie, il n’y a pas d’assurance multiple, mais plutôt une assurance cumulative sans surassurance, dans laquelle l’omission d’avis à l’assureur ne peut entraîner aucune des conséquences juridiques prévues à l’art. 46b al. 3 LCA (Poupon/Tissot-Daguette, op. cit., n. 23 ad art. 46b LCA). Le devoir d’avis a en particulier pour but d’empêcher la conclusion de plusieurs contrats d’assurance qui permettraient au preneur d’assurance de se procurer un profit à l’insu des assureurs. Il sert à prévenir un enrichissement du preneur d’assurance, à empêcher les cas de tromperie ou d’abus et à éviter que le preneur d’assurance ne soit tenté d’abuser de l’existence d’une pluralité de contrats d’assurance. Il permet également aux assureurs de savoir si, avec qui et à quelles conditions, ils partagent le risque, tout comme de savoir s’ils pourront diminuer leurs prestations en cas de réalisation du risque (Poupon/Tissot-Daguette, op. cit., n. 26 et 27 ad art. 46b LCA). Le devoir d’avis prend naissance à la conclusion du contrat d’assurance qui introduit l’assurance multiple, c’est-à-dire au moment où cette dernière se concrétise effectivement. Si le preneur d’assurance n’a connaissance de l’assurance multiple que plus tard, par exemple lorsqu’un tiers a conclu le contrat à son profit, le devoir d’avis prend naissance à ce moment-là (Poupon/Tissot-Daguette, op. cit., n. 36 ad art. 46b LCA). Il n’est pas indispensable que le preneur d’assurance ait cherché à se procurer un profit illicite. Il est suffisant que l’omission d’avis soit intentionnelle. Il suffit que le preneur d’assurance ait omis d’avertir les assureurs alors qu’il avait conscience de l’assurance multiple et connaissance de son devoir d’avis (Poupon/Tissot-Daguette, op. cit., n. 40 ad art. 46b LCA). L’omission d’avis est considérée comme non intentionnelle lorsque le preneur d’assurance n’a pas connaissance de l’assurance multiple, par exemple lorsqu’il n’a pas connaissance de l’existence d’un autre contrat d’assurance (…). Il convient également de réserver le cas où le preneur d’assurance est en mesure de faire valoir des motifs plausibles à la conclusion d’une assurance multiple, par exemple s’il s’attend à une augmentation de valeur de l’objet assuré. Si tel est le cas, il ne sera pas considéré de mauvaise foi (Poupon/Tissot-Daguette, op. cit., n. 41 ad art. 46b LCA). La bonne foi exige que l’assurance multiple soit intervenue à l’insu de l’assuré ou – s’il était au courant de l’assurance multiple – qu’il n’ait pas poursuivi une intention frauduleuse. Le facteur décisif est l’intention subjective (Poupon/Tissot-Daguette, op. cit., n. 51 ad art. 46b LCA). 5.1.3. En vertu de l'art. 117 CPC – qui concrétise les principes que le Tribunal fédéral a dégagés de l'art. 29 al. 3 Cst. (ATF 144 III 531 consid. 4.1; 142 III 131 consid. 4.1; 141 III 369 consid. 4.1; arrêt du Tribunal fédéral 5D_32/2024 du 25 octobre 2024 consid. 4.1) –, une personne a droit à l'assistance judiciaire si elle ne dispose pas de ressources suffisantes (let. a) et si sa cause ne paraît pas dépourvue de toute chance de succès (let. b). L'assistance judiciaire comprend l'exonération d'avances et de sûretés (art. 118 al. 1 let. a CPC), l'exonération des frais judiciaires (let. b) et la commission d'office d'un conseil juridique par le tribunal lorsque la défense des droits du requérant l'exige (let. c, 1ère phr.).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5D_32/2024 du 25 octobre 2024 consid. 4.1.1). Le juge cantonal dispose d'un large pouvoir d'appréciation dans l'examen des chances de succès (cf. ATF 134 I 12 consid. 2.3; arrêt du Tribunal fédéral 5D_32/2024 du 25 octobre 2024 consid. 4.1.3). 5.2.1. En l'espèce, le recourant critique à tort la jurisprudence citée par la vice-présidence du Tribunal civil relative aux chances de succès, puisque celle-ci s'applique à sa situation même s'il a circonscrit ses requêtes d'assistance juridique à l'exonération des avances de frais. Par ailleurs, il s'agit de retenir davantage les principes énoncés dans ces arrêts que le contexte de faits à la base de ceux-ci. 5.2.2. En l'occurrence, le recourant a élevé par-devant le Tribunal une prétention en paiement de 6'000 fr., intérêts en sus, à l'encontre de J______, en raison de la disparition de pierres précieuses, montant qu'il a ensuite réduit à 4'615 fr. 30. Il n'a pas produit les conditions générales relatives à cette assurance collective de carte de crédit, de sorte que les seuls éléments connus résultent des faits sus évoqués. Si le recourant a fondé sa prétention en paiement contre J______ exclusivement en raison de la disparition de pierres précieuses, son action paraît vouée à l'échec, puisque J______ lui a écrit ne pas couvrir ce type de valeurs. En revanche, si la prétention du recourant avait pour cause le coût d'acquisition de son bagage volé, il aurait, a priori , droit à l'indemnité nette de 4'615 fr. 30 que J______ voulait lui allouer, avant de se rétracter, sur la base de l'art. 40 LCA, lui reprochant une prétention frauduleuse pour avoir déclaré le seul concours de E______, en taisant celui de G______. Or, le concours des assureurs J______ et G______ pourrait exister en ce qui concerne l'indemnisation du bagage volé, de même que celui de J______ et de D______, pour le dédommagement de la montre, dont la disparition avait été spécifiquement déclarée à J______. Le recourant n'a pas donné d'explications plausibles à l'appui de la non-déclaration des autres assureurs, quand bien même J______ lui avait spécifiquement posé cette question, une première fois au n° 6) de son formulaire, puis une seconde fois lors de sa relance du 1 er novembre 2023. Or, il savait pertinemment qu'il s'était assuré auprès d'autres assureurs (D______, E______ et G______). Il a, d'ailleurs, affirmé de manière inexacte s'être adressé à E______, " son unique assureur ", après résiliation de sa police d'assurance G______, puisqu'il avait déjà déclaré le sinistre à E______ le 20 mars 2023, soit avant la résiliation de sa police G______, intervenue le 9 septembre 2023. Il ne s'agit pas d'accuser le recourant sans preuve, mais d'examiner si l'application de l'art. 40 LCA est envisageable. Il s'ensuit que les risques d'échec de la prétention du recourant à l'encontre de J______ paraissent supérieurs à ses chances de succès, soit parce que J______ n'assure pas les pierres précieuses, soit parce qu'elle pouvait valablement se libérer de son obligation d'indemniser la disparition du bagage, selon l'art. 40 LCA, en raison des omissions du recourant, au sujet desquelles il n'a pas été en mesure de fournir d'explications plausibles. Par conséquent, c'est avec raison que la vice-présidence du Tribunal civil a refusé l'assistance juridique, fût-elle limitée à l'avance de frais. Pour le surplus, il convient de préciser que le recourant a abandonné ses prétentions au fond en paiement d'une indemnité au titre d'une atteinte à sa personnalité, de tort moral et de dommage-intérêts, par courrier du 30 septembre 2024 adressé au Tribunal, de sorte que la question des chances de succès de ces actions ne se pose plus.</w:t>
      </w:r>
    </w:p>
    <w:p>
      <w:r>
        <w:rPr>
          <w:b/>
        </w:rPr>
        <w:t>E. 6</w:t>
      </w:r>
    </w:p>
    <w:p>
      <w:r>
        <w:t>Infondé, le recours sera, dès lors, rejeté.</w:t>
      </w:r>
    </w:p>
    <w:p>
      <w:r>
        <w:rPr>
          <w:b/>
        </w:rPr>
        <w:t>E. 7</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14 novembre 2024 par A______ contre la décision AJC/5495/2024 rendue le 11 octobre 2024 par la vice-présidence du Tribunal civil dans la cause AC/1902/2024.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