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AC/1868/2012 vom 23. September 2014</w:t>
      </w:r>
    </w:p>
    <w:p>
      <w:r>
        <w:t>GE Cour de justice, 2014-09-23, FR</w:t>
      </w:r>
    </w:p>
    <w:p>
      <w:r>
        <w:rPr>
          <w:b/>
        </w:rPr>
        <w:t xml:space="preserve">Quelle: </w:t>
      </w:r>
      <w:r>
        <w:t>https://mcp.opencaselaw.ch/entscheid/ge_gerichte_AC_1868_2012</w:t>
      </w:r>
    </w:p>
    <w:p>
      <w:r>
        <w:t>FR: GE_GERICHTE AC/1868/2012 du 23 septembre 2014</w:t>
      </w:r>
    </w:p>
    <w:p>
      <w:r>
        <w:t>IT: GE_GERICHTE AC/1868/2012 del 23 settembre 2014</w:t>
      </w:r>
    </w:p>
    <w:p>
      <w:pPr>
        <w:pStyle w:val="Heading2"/>
      </w:pPr>
      <w:r>
        <w:t>Regeste</w:t>
      </w:r>
    </w:p>
    <w:p>
      <w:r>
        <w:t>CHANCES DE SUCCÈS; DROIT D'ÊTRE ENTENDU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Les décisions du Tribunal de protection de l'adulte et de l'enfant sont susceptibles de recours à la Chambre de surveillance de la Cour de justice dans le délai de trente jours à compter de leur notification (art. 440 al. 3, 450b et 450f CC ; art. 53 al. 1 et 2 LaCC ; art. 126 al. 3 LOJ). Le recours au sens des art. 450 ss CC est dévolutif de sorte qu'il est une voie de droit complète. L'autorité de recours examine la cause avec une pleine cognition (Steck, in Protection de l'adulte, Leuba/Stettler/Buchler/Effli [éd.], 2013 n. 7 et 8 ad art. 450 CC). Les dispositions des art. 240 à 270 CPC relatives à la procédure sommaire sont applicables en matière de procédure devant le Tribunal de protection de l'adulte et de l'enfant en complément des règles de procédure fixées par le Code civil notamment aux art. 443 à 450g CC, ainsi que 314 ss CC et des dispositions de la LaCC (art. 31 al. 1 let. c LaCC).</w:t>
      </w:r>
    </w:p>
    <w:p>
      <w:r>
        <w:rPr>
          <w:b/>
        </w:rPr>
        <w:t>E. 2.3</w:t>
      </w:r>
    </w:p>
    <w:p>
      <w:r>
        <w:t>Le droit d'être entendu est une garantie constitutionnelle de caractère formel, dont la violation doit en principe entraîner l'annulation de la décision attaquée indépendamment des chances de succès du recourant sur le fond (ATF 127 V 431 consid. 3d/aa). Une violation du droit d'être entendu en instance inférieure est réparé pour autant qu'il ne soit pas d'une gravité particulière, lorsque l'intéressé a eu la faculté de se faire entendre en instance supérieure par une autorité disposant d'un plein pouvoir d'examen en fait et en droit (cf. notamment arrêt du Tribunal fédéral 8C_104/2010 du 20 septembre 2010 ; DAS/25/2014 consid. 2.1).</w:t>
      </w:r>
    </w:p>
    <w:p>
      <w:r>
        <w:rPr>
          <w:b/>
        </w:rPr>
        <w:t>E. 2.4</w:t>
      </w:r>
    </w:p>
    <w:p>
      <w:r>
        <w:t>En l'espèce, compte tenu du plein pouvoir de cognition de la Chambre de surveillance de la Cour de justice, les violations du droit d'être entendu invoquées par le recourant pourront, a priori , être réparées dans le cadre de la procédure de recours. Cependant, il semble prima facie douteux qu'une telle violation soit constatée par l'autorité de recours, dès lors que le recourant a eu la possibilité de poser des questions à l'expert et de se prononcer oralement en audience après que l'expertise ait été rendue. Par ailleurs, comme l'a relevé à juste titre l'autorité de première instance, dans sa requête d'assistance juridique, le recourant n'a pas exposé quelles étaient les contradictions ressortant du rapport d'expertise – qui justifieraient qu'une contre-expertise soit ordonnée –, ni quelles seraient leurs conséquences sur la fixation de son droit de visite sur ses enfants. Au premier abord, le TPAE n'avait pas de raison de s'écarter de l'expertise familiale pour apprécier les divers intérêts en jeu et fixer le droit de visite du recourant. Compte tenu des faits portés à sa connaissance, le premier juge n'a pas violé le droit en refusant d'octroyer l'assistance juridique au recourant au motif que son recours était dénué de chances de succès. Pour le surplus, le fait que le bénéfice de l'assistance juridique ait été octroyé au recourant pour sa défense au recours formé par la mère des enfants contre l'ordonnance DTAE/3824/2014 litigeuse ne change rien à cette appréciation. En effet, s'il est possible que la Chambre de surveillance maintienne l'élargissement du droit de visite accordé au recourant, il est peu vraisemblable que ledit droit soit élargi davantage en l'état.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procédure.![endif]&gt;![if&gt; * * * * * PAR CES MOTIFS, LE VICE-PRÉSIDENT DE LA COUR : A la forme : Déclare recevable le recours formé par A______ contre la décision rendue le 23 septembre 2014 par le Vice-président du Tribunal civil dans la cause AC/1868/2012. Au fond : Le rejette. Déboute A______ de toutes autres conclusions. Dit qu'il n'est pas perçu de frais judiciaires pour le recours, ni alloué de dépens. Notifie une copie de la présente décision à A______ en l'Étude de M e Sandy ZAECH (art. 137 CPC). Siégeant : Monsieur Jean-Marc STRUBIN, vice-président ;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