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AC/1856/2008 vom 29. August 2008</w:t>
      </w:r>
    </w:p>
    <w:p>
      <w:r>
        <w:t>GE Cour de justice, 2008-08-29, FR</w:t>
      </w:r>
    </w:p>
    <w:p>
      <w:r>
        <w:rPr>
          <w:b/>
        </w:rPr>
        <w:t xml:space="preserve">Quelle: </w:t>
      </w:r>
      <w:r>
        <w:t>https://mcp.opencaselaw.ch/entscheid/ge_gerichte_AC_1856_2008</w:t>
      </w:r>
    </w:p>
    <w:p>
      <w:r>
        <w:t>FR: GE_GERICHTE AC/1856/2008 du 29 août 2008</w:t>
      </w:r>
    </w:p>
    <w:p>
      <w:r>
        <w:t>IT: GE_GERICHTE AC/1856/2008 del 29 agosto 2008</w:t>
      </w:r>
    </w:p>
    <w:p>
      <w:pPr>
        <w:pStyle w:val="Heading2"/>
      </w:pPr>
      <w:r>
        <w:t>Regeste</w:t>
      </w:r>
    </w:p>
    <w:p>
      <w:r>
        <w:t>; ACOMPTE ; LIMITATION(EN GÉNÉRAL) | RAJ.4</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2.1</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 Conformément aux garanties dégagées de l'art. 29 al. 3 Cst., le droit genevois assure le bénéfice de l'assistance juridique au justiciable indigent dont les prétentions et moyens de fait ou de droit ne sont pas manifestement infondés ni procéduralement inadmissibles (art. 143A LOJ; 2 al. 1 et 3 al. 2 RAJ; ATF 122 I 267 consid. 2a). L'indigence d'un requérant d'assistance juridique s'apprécie en fonction de l'ensemble de ses ressources, dont ses revenus, sa fortune et ses charges (ATF 127 I 202 ; ATF 120 Ia 179 consid. 3a), tous les éléments relevants étant pris en considération (ATF 124 I 1 consid. 2a; SJ 1997 p. 670.).</w:t>
      </w:r>
    </w:p>
    <w:p>
      <w:r>
        <w:rPr>
          <w:b/>
        </w:rPr>
        <w:t>E. 2.2</w:t>
      </w:r>
    </w:p>
    <w:p>
      <w:r>
        <w:t>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(art. 4 al. 2 RAJ). 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(art. 4 al. 5 RAJ). La recourante conteste la constitutionnalité de la décision querellée en tant qu'elle l'astreint au paiement d'une contribution mensuelle, indépendamment même du montant de celle-ci. Il conteste également la constitutionnalité des art. 4 al. 2 et 5 RAJ, au motif que le paiement d'une contribution mensuelle à l'assistance juridique porte atteinte au caractère gratuit de celle-ci, instauré par la Constitution fédérale. Les art. 4 al. 2 et 5 RAJ sont issus des modifications du Règlement genevois sur l'assistance juridique (E 2 05.04), qui ont été édictées par le Conseil d'Etat et sont entrées en vigueur au mois de janvier 2007. La compétence du Conseil d'Etat est décrite à l'art. 143 al. 4 LOJ, à teneur duquel il lui revient d'édicter le règlement d'application qui fixe "les conditions selon lesquelles l'assistance juridique est accordée, refusée ou retirée, ainsi que les droits du défenseur à une indemnisation et au remboursement des frais". La nouvelle réglementation en vigueur dans le canton de Genève, qui permet d'exiger d'un justiciable une participation mensuelle aux frais qu'implique sa défense, est subordonnée à la question de savoir si une telle participation aurait pour effet de porter atteinte à ses besoins fondamentaux. En effet, si tel est le cas, il bénéficiera d'un droit à une assistance juridique gratuite. En revanche, si les besoins fondamentaux du justiciable ne sont pas touchés par une telle participation, l'assistance juridique gratuite est remplacée par l'octroi d'avances ou de facilités de paiement, le bénéficiaire étant tenu de verser un maximum de 60 mensualités d'un montant se situant, en pratique, entre 20 fr. et 100 fr. Par conséquent, la réglementation critiquée respecte le principe constitutionnel selon lequel une personne indigente bénéficie d'une assistance juridique gratuite.</w:t>
      </w:r>
    </w:p>
    <w:p>
      <w:r>
        <w:rPr>
          <w:b/>
        </w:rPr>
        <w:t>E. 2.3</w:t>
      </w:r>
    </w:p>
    <w:p>
      <w:r>
        <w:t>En l'espèce, la recourante perçoit une aide financière de 1'260 fr. par mois. Ses charges incompressibles s'élèvent à 1'210 fr, soit son entretien de base de 1'100 fr., augmenté de 110 fr. (10%). Son assurance-maladie, ainsi que ses frais d'hébergement sont pris en charge par l'Hospice général. Le budget de l'intéressée présente dès lors un solde positif de l'ordre de 50 fr. Au vu de ce qui précède, le paiement d’une contribution mensuelle de 30 fr. ne porte pas atteinte à ses besoins fondamentaux. Le grief de la recourante doit dès lors être écarté et la décision querellée confirmée sur ce point.</w:t>
      </w:r>
    </w:p>
    <w:p>
      <w:r>
        <w:rPr>
          <w:b/>
        </w:rPr>
        <w:t>E. 3</w:t>
      </w:r>
    </w:p>
    <w:p>
      <w:r>
        <w:t>3.1. La recourante s’en prend enfin à la décision en ce qu’elle limite l’aide octroyée à trois heures d’activité d’avocat. Selon elle, l’art. 4 RAJ ne prévoit pas de limite temporelle à l’octroi de l’aide étatique. De surcroît, une telle limitation ne se justifie pas en l’espèce. En vertu de l'article 4 al. 1 RAJ, l'assistance juridique peut être limitée à une seule instance ou à certains actes de procédure. A fortiori, l’aide étatique peut également être limitée à un certain nombre d’heures d’activité d’avocat. Pour qu'un avocat gratuit soit désigné, les intérêts du requérant doivent être menacés ou touchés de manière grave et le cas doit présenter, en fait ou en droit, des difficultés qui rendent nécessaire l'assistance d'un défenseur (ATF 128 I 232 consid. 2.5.2; 122 I 51 consid. 2c/bb). Il faut prendre en considération notamment les connaissances linguistiques du recourant (ATF 123 I 147 consid. 2b/cc).</w:t>
      </w:r>
    </w:p>
    <w:p>
      <w:r>
        <w:rPr>
          <w:b/>
        </w:rPr>
        <w:t>E. 3.2</w:t>
      </w:r>
    </w:p>
    <w:p>
      <w:r>
        <w:t>La procédure devant l’autorité tutélaire est régie par la maxime d’office et le principe inquisitoire (STETTLER/MEIER, Droit civil VI/2, Les effets de la filiation, 2 e éd., n. 295 p. 154), les questions relatives à l’exercice d’un droit de visite ne présentent aucune difficulté nécessitant des connaissances juridiques particulières. Par ailleurs, lorsque l’intérêt de l’enfant l’exige, l’autorité tutélaire intervient d’office ou à la demande des personnes concernées pour prendre les mesures nécessaires concernant les relations personnelles (art. 273 CC ss). Pour établir les faits, elle entend les père et mère, et le mineur intéressé, sauf si son âge ou d’autres motifs s’y opposent (art. 368B LPC). En l'espèce, le litige qui oppose la recourante au père de son enfant n'est pas complexe en fait et en droit. Toutefois, les problèmes linguistiques qu'elle rencontre l'empêchent d'exposer à l’autorité compétente les faits liés à la cause. Il est donc nécessaire qu'elle soit assistée par un avocat en audience. Le juge du Tribunal tutélaire rend généralement une ordonnance qui règle les relations personnelles après avoir entendu les parties. La procédure est donc simple et rapide, raison pour laquelle l'octroi de l'assistance juridique sera limitée à 6 heures d'activité d'avocat. La recourante pourra éventuellement solliciter une extension de l'assistance juridique auprès de l'autorité compétente si la procédure le requiert.</w:t>
      </w:r>
    </w:p>
    <w:p>
      <w:r>
        <w:rPr>
          <w:b/>
        </w:rPr>
        <w:t>E. 4</w:t>
      </w:r>
    </w:p>
    <w:p>
      <w:r>
        <w:t>Compte tenu de ce qui précède, la demande d’effet suspensif sollicitée ne se justifie pas et la décision entreprise sera partiellement annulée, dans la mesure où elle limite l'activité d'avocat à 3 heures maximum. ********* PAR CES MOTIFS, LE VICE-PRESIDENT DE LA COUR : A la forme : Déclare recevable le recours formé par X______ contre la décision rendue le 29 août 2008 par le Vice-président du Tribunal de première instance dans la cause AC/1856/2008. Au fond : Annule partiellement la décision entreprise, dans la mesure où elle limite l'activité d'avocat à 3 heures maximum. Octroie à X______ une assistance juridique limitée à 6 heures d'activité d'avocat. Déboute X______ de toutes autres conclusions. Notifie une copie de la présente décision à X______ en l'étude de Me Nathalie RAPP, ainsi qu'à son avocate (art. 23 al. 2 RAJ). Siégeant : Monsieur François CHAIX, vice-président; Madame Muriel REHFUSS, greffier.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