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AC/183/2018 vom 26. November 2020</w:t>
      </w:r>
    </w:p>
    <w:p>
      <w:r>
        <w:t>GE Cour de justice, 2020-11-26, FR</w:t>
      </w:r>
    </w:p>
    <w:p>
      <w:r>
        <w:rPr>
          <w:b/>
        </w:rPr>
        <w:t xml:space="preserve">Quelle: </w:t>
      </w:r>
      <w:r>
        <w:t>https://mcp.opencaselaw.ch/entscheid/ge_gerichte_AC_183_2018</w:t>
      </w:r>
    </w:p>
    <w:p>
      <w:r>
        <w:t>FR: GE_GERICHTE AC/183/2018 du 26 novembre 2020</w:t>
      </w:r>
    </w:p>
    <w:p>
      <w:r>
        <w:t>IT: GE_GERICHTE AC/183/2018 del 26 novembre 2020</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D'après les art. 123 al. 1 CPC et 8 al. 3 RAJ, une partie est tenue de rembourser l'assistance juridique dès qu'elle est en mesure de le faire, notamment en raison de l'évolution favorable de ses revenus ou de sa fortune (Message du Conseil fédéral du 28 juin 2006 relatif au code de procédure civile suisse [CPC], FF 2006 p. 6986 ss, p. 6915). L'art. 19 al. 3 RAJ précise que si la situation de la personne bénéficiaire s'est améliorée ou si elle est de toute manière en mesure d'effectuer un paiement, le paiement de l'intégralité des prestations de l'Etat peut être exigé. La capacité du bénéficiaire de l'assistance juridique de rembourser tout ou partie des prestations effectuées par l'Etat doit être appréciée selon les mêmes critères que l'indigence au sens de l'art. 117 let. a CPC. Un remboursement peut ainsi être exigé lorsque, et dans la mesure où, la situation du bénéficiaire s'est améliorée depuis la décision d'octroi de l'assistance judiciaire de manière à ce que l'on puisse attendre de sa part qu'il s'acquitte, serait-ce partiellement ou par acomptes, du montant de l'assistance fournie (Wuffli/Fuhrer, Handbuch unentgeltliche Rechtspflege im Zivilprozess, 2019, p. 362 n. 1039; Huber, in Schweizerische Zivilprozessordnung [ZPO], Kommentar, Brunner/Gasser/Schwander [éd.], 2e éd. 2016, n. 8 ad art. 123 CPC; Bühler, in Commentaire bernois, Schweizerische Zivilprozessordnung [ZPO], vol I, 2012, n. 7 ad art. 123 CPC).</w:t>
      </w:r>
    </w:p>
    <w:p>
      <w:r>
        <w:rPr>
          <w:b/>
        </w:rPr>
        <w:t>E. 3.2</w:t>
      </w:r>
    </w:p>
    <w:p>
      <w:r>
        <w:t>En l'espèce, le recourant se plaint de ce qu'il n'arriverait pas à boucler ses fins de mois en raison notamment du loyer élevé de son logement eu égard à la garde alternée exercée jusqu'alors sur ses deux enfants, qui le contraindrait à vivre dans un 5 pièces. L'Assistance juridique a toutefois tenu compte d'un montant de 3'037 fr. par mois pour ce poste, correspondant aux frais de loyer effectifs, montant qui paraît approprié pour un logement comportant 3 chambres et qui ne saurait, partant, être augmenté. Elle a également tenu compte de la moitié du minimum vital OP des enfants mineurs et a arrêté les autres charges du ménage conformément aux allégués et pièces produites. C'est ainsi à bon droit que l'Autorité de première instance est arrivée à la conclusion que le ménage formé par le recourant et ses deux enfants bénéficiait d'un solde disponible dépassant de 867 fr. le minimum vital élargi. Cela étant, en condamnant le recourant à rembourser sa dette à hauteur d'environ 12'000 fr., la Vice-présidente du Tribunal de première instance le contraint à hypothéquer l'entier de son disponible pendant environ 14 mois (867 fr. x 14 mois = 12'138 fr.) ou à vivre avec un disponible restreint de 367 fr. pendant 24 mois (500 fr. x 24 mois = 12'000), ce qui paraît disproportionné compte tenu des enfants mineurs que le recourant a partiellement à charge. Au vu de sa situation financière globale, et notamment de la prise en charge des enfants mineurs, il convient plutôt de ne condamner le recourant qu'à rembourser un tiers de sa dette totale, soit 8'000 fr., ce qu'il pourra faire, au besoin, par mensualités. En définitive, le recours sera partiellement admis et la décision querellée réformée dans le sens qui précède.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10 décembre 2020 par A______ contre la décision rendue le 26 novembre 2020 par la Vice-présidente du Tribunal de première instance dans la cause AC/183/2018. Au fond : Annule la décision entreprise. Condamne A______ à rembourser à l'Etat de Genève la somme de 8'000 fr. L'invite, cas échéant, à contacter les Services financiers du Pouvoir judiciaire pour convenir d'un arrangement de paiement de cette somme par mensualités. Dit que le solde de la dette du bénéficiaire se monte à 16'226 fr. 85, l'art. 123 al. 1 CPC étant réservé.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