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AC/1832/2015 vom 23. Mai 2016</w:t>
      </w:r>
    </w:p>
    <w:p>
      <w:r>
        <w:t>GE Cour de justice, 2016-05-23, FR</w:t>
      </w:r>
    </w:p>
    <w:p>
      <w:r>
        <w:rPr>
          <w:b/>
        </w:rPr>
        <w:t xml:space="preserve">Quelle: </w:t>
      </w:r>
      <w:r>
        <w:t>https://mcp.opencaselaw.ch/entscheid/ge_gerichte_AC_1832_2015</w:t>
      </w:r>
    </w:p>
    <w:p>
      <w:r>
        <w:t>FR: GE_GERICHTE AC/1832/2015 du 23 mai 2016</w:t>
      </w:r>
    </w:p>
    <w:p>
      <w:r>
        <w:t>IT: GE_GERICHTE AC/1832/2015 del 23 maggio 2016</w:t>
      </w:r>
    </w:p>
    <w:p>
      <w:pPr>
        <w:pStyle w:val="Heading2"/>
      </w:pPr>
      <w:r>
        <w:t>Regeste</w:t>
      </w:r>
    </w:p>
    <w:p>
      <w:r>
        <w:t>RÉTROACTIVITÉ</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138 al. 1 et 321 al. 2 CPC, 11 RAJ et art. 10 let. a et 15 al. 1 let. b de la Convention de La Haye du 15 novembre 1965 relative à la signification et la notification à l'étranger des actes judiciaires et extrajudiciaires en matière civile ou commerciale (RS 0.274.131)).![endif]&gt;![if&gt;</w:t>
      </w:r>
    </w:p>
    <w:p>
      <w:r>
        <w:rPr>
          <w:b/>
        </w:rPr>
        <w:t>E. 1.2</w:t>
      </w:r>
    </w:p>
    <w:p>
      <w:r>
        <w:t>En l'espèce, le recours a été interjeté dans le délai utile, la décision litigieuse ayant été communiquée au recourant le 11 juin 2016, et en la forme écrite prescrite par la loi, de sorte qu'il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 Par conséquent, les pièces nouvelles produites par le recourant et les faits qui s'y rapportent sont écartés de la procédure.</w:t>
      </w:r>
    </w:p>
    <w:p>
      <w:r>
        <w:rPr>
          <w:b/>
        </w:rPr>
        <w:t>E. 3</w:t>
      </w:r>
    </w:p>
    <w:p>
      <w:r>
        <w:t>Le recourant reproche au Vice-président du Tribunal civil de ne pas lui avoir accordé l'assistance juridique pour les frais de procédure de première instance.</w:t>
      </w:r>
    </w:p>
    <w:p>
      <w:r>
        <w:rPr>
          <w:b/>
        </w:rPr>
        <w:t>E. 3.1</w:t>
      </w:r>
    </w:p>
    <w:p>
      <w:r>
        <w:t>Reprenant l'art. 29 al. 3 Cst., l'art. 117 CPC prévoit que toute personne qui ne dispose pas de ressources suffisantes a droit à l'assistance judiciaire à moins que sa cause paraisse dépourvue de toute chance de succès. La requête d'assistance judiciaire peut être présentée avant ou pendant la litispendance (art. 119 al. 1 CPC). Aux termes de l'art. 5 al. 1 RAJ, l'assistance juridique est en principe octroyée avec effet au jour du dépôt de la requête. Elle est exceptionnellement accordée avec effet rétroactif (art. 119 al. 4 CPC et 8 al. 3 RAJ). La jurisprudence fédérale admet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En particulier le plaideur indigent ne saurait arguer de ce qu'il ne connaissait pas son droit à l'assistance judiciaire (ATF 122 I 203 consid. 2c-g in JdT 1997 I 604, arrêts du Tribunal fédéral 5A_849/2014 du 30 mars 2015 consid. 4.5 ; 5A_181/2012 du 27 juin 2012 consid. 2.3.3).</w:t>
      </w:r>
    </w:p>
    <w:p>
      <w:r>
        <w:rPr>
          <w:b/>
        </w:rPr>
        <w:t>E. 3.2</w:t>
      </w:r>
    </w:p>
    <w:p>
      <w:r>
        <w:t>En l'espèce, le recourant a requis l'assistance juridique pour les frais judiciaires de première instance plus d'une année après le prononcé du jugement le condamnant à ces frais et trois mois après celui de l'arrêt le confirmant. La demande d'assistance juridique avait donc pour objet une période largement antérieure à son dépôt. A cet égard, s'il est possible, à titre exceptionnel, d'octroyer l'assistance juridique avec effet rétroactif, cela ne dispense pas le justiciable souhaitant en bénéficier de fournir les éléments pertinents permettant au juge d'estimer le bien-fondé d'une telle dérogation. Or, le recourant n'a pas indiqué – ni dans sa requête du 19 juin 2016 ni dans le cadre du présent recours – les motifs qui l'ont mené à déposer sa demande de manière tardive, se contentant de critiquer à nouveau, comme il l'a déjà fait devant la Cour, le montant des frais arrêtés par le Tribunal. Il n'a en particulier pas soutenu avoir été, en raison d'une situation d'urgence, dans l'impossibilité de déposer sa requête d'assistance juridique déjà en première instance, étant relevé que le recourant n'a pas allégué qu'il pensait que la procédure de divorce serait gratuite. Enfin, les critiques formulées par le recourant à l'encontre du montant des frais judiciaires arrêté par le Tribunal ont d'ores et déjà été examinées par la Cour, l'Autorité de céans n'étant pour le surplus pas compétente sur ce point. Par conséquent, c'est à juste titre que l'autorité de première instance a refusé de lui octroyer l'assistance juridique. Compte tenu de ce qui précède, le recours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17 juin 2016 par A______ contre la décision rendue le 23 mai 2016 par le Vice-président du Tribunal civil dans la cause AC/1832/2015.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