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AC/1815/2018 vom 18. Juni 2018</w:t>
      </w:r>
    </w:p>
    <w:p>
      <w:r>
        <w:t>GE Cour de justice, 2018-06-18, FR</w:t>
      </w:r>
    </w:p>
    <w:p>
      <w:r>
        <w:rPr>
          <w:b/>
        </w:rPr>
        <w:t xml:space="preserve">Quelle: </w:t>
      </w:r>
      <w:r>
        <w:t>https://mcp.opencaselaw.ch/entscheid/ge_gerichte_AC_1815_2018</w:t>
      </w:r>
    </w:p>
    <w:p>
      <w:r>
        <w:t>FR: GE_GERICHTE AC/1815/2018 du 18 juin 2018</w:t>
      </w:r>
    </w:p>
    <w:p>
      <w:r>
        <w:t>IT: GE_GERICHTE AC/1815/2018 del 18 giugno 2018</w:t>
      </w:r>
    </w:p>
    <w:p>
      <w:pPr>
        <w:pStyle w:val="Heading2"/>
      </w:pPr>
      <w:r>
        <w:t>Regeste</w:t>
      </w:r>
    </w:p>
    <w:p>
      <w:r>
        <w:t>CHANCES DE SUCCÈS ; DROIT D'ÊTRE ENTENDU ; CAS DE RIGUEUR ; AUTORISATION DE SÉJOUR</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La recourante reproche tout d'abord au Vice-président du Tribunal civil d'avoir violé son droit d'être entendue.![endif]&gt;![if&gt;</w:t>
      </w:r>
    </w:p>
    <w:p>
      <w:r>
        <w:rPr>
          <w:b/>
        </w:rPr>
        <w:t>E. 2.1</w:t>
      </w:r>
    </w:p>
    <w:p>
      <w:r>
        <w:t>Le droit d'être entendu garanti par l'art. 29 al. 2 Cst. implique, en particulier,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il n'a toutefois pas l'obligation d'exposer et de discuter tous les moyens invoqués par les parties; il n'y a violation du droit d'être entendu que si l'autorité n'a pas satisfait à son devoir minimum d'examiner et de traiter les problèmes pertinents (ATF 135 III 670 consid. 3.3.1; 133 III 235 consid. 5.2; arrêts du Tribunal fédéral 5A_807/2012 du 6 février 2013 consid. 4.2.1 et 4A_217/2016 du 19 janvier 2017 consid. 3.1). La violation du droit d'être entendu peut être réparée lorsque la partie lésée a la possibilité de s'exprimer devant une autorité de recours jouissant d'un plein pouvoir d'examen (arrêt du Tribunal fédéral 5A_925/2015 du 4 mars 2016 consid. 2.3.3.2 non publié in ATF 142 III 195 ).</w:t>
      </w:r>
    </w:p>
    <w:p>
      <w:r>
        <w:rPr>
          <w:b/>
        </w:rPr>
        <w:t>E. 2.2</w:t>
      </w:r>
    </w:p>
    <w:p>
      <w:r>
        <w:t>En l'occurrence, la recourante fait grief à l'autorité de première instance de ne pas avoir examiné les chances de succès de son recours devant la Chambre administrative de la Cour sous l'angle des violations du droit invoquées en lien avec le refus du TAPI de suspendre la procédure, et l'absence d'application par le TAPI de l'art. 23 LEtr ainsi que du Protocole d'entente entre la Suisse et le Canada. Le grief tiré d'une prétendue violation du droit d'être entendu doit être rejeté pour les motifs qui suivent. Par sa décision du 26 juin 2017, l'OCPM a refusé la demande d'autorisation de séjour de la recourante - au motif que sa situation ne constituait pas un cas d'extrême gravité au sens des art. 30 al. 1 let. b LEtr et 31 OASA - et prononcé son renvoi de Suisse. L’objet du litige au fond se limite par conséquent à la conformité au droit de ce refus et du prononcé du renvoi. Les considérations de la recourante selon lesquelles le TAPI aurait arbitrairement omis d'appliquer l'art. 23 LEtr - relatif aux qualifications personnelles requises pour prétendre à l'octroi d'un titre de séjour avec activité lucrative - paraissant exorbitantes au litige (cf. ATF 136 V 362 consid. 3.4 et 4.2; arrêt du Tribunal fédéral 2C_581/2010 du 28 mars 2011 consid. 1.5; ATA/1218/2017 du 22 août 2017 consid. 3b), la recourante ne peut reprocher au Vice-président du Tribunal civil de ne pas avoir examiné cet argument, qui semblait dénué de pertinence pour l'issue de la procédure. Par ailleurs, l'on comprend, à la lecture de la décision présentement attaquée, que s'agissant des griefs invoqués en lien avec le Protocole d'entente susvisé, le Vice-président du Tribunal civil a fait sienne l'appréciation de l'autorité de céans (cf. DAAJ/8/2018 ) - également partagée par le TAPI - selon laquelle la recourante n'appartenait pas à l'une des catégories de personnes visées par ledit protocole. En outre, le Vice-président du Tribunal civil a considéré que faute d'éléments nouveaux invoqués depuis la décision de refus d'assistance juridique du 10 octobre 2017, confirmée par décision de l'autorité de céans du 31 janvier 2018, le pronostic relatif aux chances de succès des démarches de la recourante demeurait inchangé. Cette motivation, quand bien même elle ne répondrait pas exhaustivement à tous les arguments avancés par la recourante, apparaît suffisante. Pour le surplus, la recourante faisant valoir diverses violations du droit en lien avec le refus du TAPI de suspendre la procédure au fond, l'autorité de céans reverra ces points ci-après avec un plein pouvoir d'examen.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L’art. 30 al. 1 let. b LEtr permet de déroger aux conditions d’admission en Suisse, telles que prévues aux art. 18 à 29 LEtr, notamment en vue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(ch. 5.6.4 Directives et commentaires domaine des étrangers - Directives LEtr, version actualisée au 3 juillet 2017).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128 II 200 consid. 4; ATA/350/2016 du 26 avril 2016; ATA/1192/2015 du 3 novembre 2015 et jurisprudence cantonale citée). L’autorité doit néanmoins procéder à l’examen de l’ensemble des circonstances du cas d’espèce pour déterminer l’existence d’un cas de rigueur (ATF 128 II 200 consid. 4; 124 II 110 consid. 2; ch. 5.6.1 Directives LEtr). L’art. 30 al. 1 let. b LEtr n’a pas pour but de soustraire le requérant aux conditions de vie de son pays d’origine, mais implique qu’il se trouve personnellement dans une situation si grave qu’on ne peut exiger de sa part qu’il tente de se réadapter à son existence passée. Dans la procédure d’exemption des mesures de limitation, seules des raisons exclusivement humanitaires sont déterminantes. Cela n’exclut pas de prendre en compte les difficultés rencontrées par le requérant à son retour dans son pays d’un point de vue personnel, familial et économique (ATF 123 II 125 consid. 3; ATA/189/2016 du 1er mars 2016).</w:t>
      </w:r>
    </w:p>
    <w:p>
      <w:r>
        <w:rPr>
          <w:b/>
        </w:rPr>
        <w:t>E. 3.3</w:t>
      </w:r>
    </w:p>
    <w:p>
      <w:r>
        <w:t>En l'espèce, dans le recours devant la Chambre administrative de la Cour, la recourante demande principalement le renvoi de la cause à l'OCPM en vue de l'octroi d'un permis de séjour avec autorisation de travail. Au regard de la jurisprudence rappelée ci-dessus (cf. supra ch. 2.2), ce chef de conclusion paraît a priori irrecevable, puisqu'il excède l'objet du litige. Après examen circonstancié de la situation de la recourante, le TAPI a considéré que l'intéressée ne remplissait pas les conditions d'un cas de rigueur. Dans son recours devant la Chambre administrative de la Cour, la recourante se contente de reprendre succinctement, subsidiairement aux griefs tirés d'une violation de l'art. 23 LEtr, la même argumentation que devant le TAPI. C'est donc à juste titre que le Vice-président du Tribunal civil a considéré que les motifs ayant conduit au rejet de l'aide étatique pour la procédure de recours devant le TAPI restaient d'actualité, s'agissant des griefs invoqués en lien avec la demande de permis humanitaire. Dans la mesure où le résultat de la procédure de recours contre la décision du TAPI du 7 mai 2018 ne dépend pas de l'issue de celle concernant la nouvelle demande d'autorisation de séjour avec activité lucrative déposée par un potentiel employeur de la recourante, il paraît a priori peu vraisemblable que la Chambre administrative de la Cour suspende la procédure de recours. Quoi qu'il en soit, une éventuelle suspension de ladite procédure de recours jusqu'à droit jugé sur la demande d'autorisation de séjour avec activité lucrative ne serait pas de nature à modifier les considérations qui précèdent en ce qui concerne les chances de succès au fond. Si par impossible la recourante devait se voir octroyer un permis de séjour avec activité lucrative, la procédure devant la Chambre administrative deviendrait sans objet, ce qui ne peut être assimilé à une victoire dans la procédure. Enfin, aucun élément du dossier ne permet a priori de considérer que le renvoi de la recourante serait impossible, illicite ou inexigible au sens de l'art. 83 LEtr. En particulier, l'intéressée n'a toujours pas fourni d'éléments factuels permettant d'accréditer ou de rendre vraisemblable le risque allégué de mariage forcé. Compte tenu de ce qui précède, c'est à bon droit que l'autorité de première instance a considéré que le recours formé devant la Chambre administrative de la Cour paraissait dénué de chances de succès. Partant, le recours, infondé, sera rejeté.</w:t>
      </w:r>
    </w:p>
    <w:p>
      <w:r>
        <w:rPr>
          <w:b/>
        </w:rPr>
        <w:t>E. 4</w:t>
      </w:r>
    </w:p>
    <w:p>
      <w:r>
        <w:t>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18 juin 2018 par le Vice-président du Tribunal civil dans la cause AC/1815/2018. Au fond : Le rejette. Déboute A______ de toutes autres conclusions. Dit qu'il n'est pas perçu de frais judiciaires pour le recours. Notifie une copie de la présente décision à A______ en l'Étude de M e Jacques EMERY (art. 137 CPC). Siégeant : Monsieur Patrick CHENAUX, Vice-président; Madame Maïté VALENTE, greffière. Le Vice-président : Patrick CHENAUX La greffière : Maïté VALENTE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