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AC/1810/2014 vom 24. Juli 2015</w:t>
      </w:r>
    </w:p>
    <w:p>
      <w:r>
        <w:t>GE Cour de justice, 2015-07-24, FR</w:t>
      </w:r>
    </w:p>
    <w:p>
      <w:r>
        <w:rPr>
          <w:b/>
        </w:rPr>
        <w:t xml:space="preserve">Quelle: </w:t>
      </w:r>
      <w:r>
        <w:t>https://mcp.opencaselaw.ch/entscheid/ge_gerichte_AC_1810_2014</w:t>
      </w:r>
    </w:p>
    <w:p>
      <w:r>
        <w:t>FR: GE_GERICHTE AC/1810/2014 du 24 juillet 2015</w:t>
      </w:r>
    </w:p>
    <w:p>
      <w:r>
        <w:t>IT: GE_GERICHTE AC/1810/2014 del 24 luglio 2015</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(articles 10 al. 4 LPA, 11 et 19 al. 5 RAJ), compétence déléguée au vice-président soussigné (art. 29 al. 5 LOJ ; arrêt du Tribunal fédéral 2D_6/2012 du 31 juillet 2012 consid. 2). ![endif]&gt;![if&gt;</w:t>
      </w:r>
    </w:p>
    <w:p>
      <w:r>
        <w:rPr>
          <w:b/>
        </w:rPr>
        <w:t>E. 1.2</w:t>
      </w:r>
    </w:p>
    <w:p>
      <w:r>
        <w:t>Le recours, écrit et motivé, est introduit auprès de l'instance de recours dans un délai de 10 jours (art. 130, 131 et 321 al. 1 et 2 CPC, applicables par renvoi des art. 10 al. 4 LPA et 8 al. 3 RAJ ; arrêt du Tribunal fédéral 1B_171/2011 du 15 juin 2011 consid. 2.2). En l'espèce, le recours a été formé postérieurement à l'échéance du délai de 10 jours. Cependant, la décision querellée indiquait, de manière erronée, un délai de recours de 30 jours.</w:t>
      </w:r>
    </w:p>
    <w:p>
      <w:r>
        <w:rPr>
          <w:b/>
        </w:rPr>
        <w:t>E. 1.2.1</w:t>
      </w:r>
    </w:p>
    <w:p>
      <w:r>
        <w:t>On déduit du principe général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Seule une négligence procédurale grossière peut faire échec à la protection de la bonne foi (arrêt du Tribunal fédéral 5A_614/2014 du 20 novembre 2014 consid. 4.1, ATF 138 I 49 consid. 8.3.2).</w:t>
      </w:r>
    </w:p>
    <w:p>
      <w:r>
        <w:rPr>
          <w:b/>
        </w:rPr>
        <w:t>E. 1.2.2</w:t>
      </w:r>
    </w:p>
    <w:p>
      <w:r>
        <w:t>La recourante, qui plaide en personne, a respecté le délai indiqué dans la décision querellée. Aucun élément du dossier ne permet de retenir qu'elle aurait pu constater l'erreur affectant cette indication. Par conséquent, il serait contraire au principe de la bonne foi de déclarer irrecevable son recours, lequel est par ailleurs conforme à la forme prescrite par la loi. Le recours est, dès lors, recevable.</w:t>
      </w:r>
    </w:p>
    <w:p>
      <w:r>
        <w:rPr>
          <w:b/>
        </w:rPr>
        <w:t>E. 1.3</w:t>
      </w:r>
    </w:p>
    <w:p>
      <w:r>
        <w:t>Lorsque la Cour est saisie d'un recours,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de la recourante, que cette dernière ne sollicite au demeurant pas (art. 10 al. 3 LPA ; arrêt du Tribunal fédéral 2D_6/2012 du 31 juillet 2012 consid. 3).</w:t>
      </w:r>
    </w:p>
    <w:p>
      <w:r>
        <w:rPr>
          <w:b/>
        </w:rPr>
        <w:t>E. 2</w:t>
      </w:r>
    </w:p>
    <w:p>
      <w:r>
        <w:t>A teneur de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al. 1 CPC, applicable par renvoi de l'art. 8 al. 3 RAJ et 10 al. 4 LPA,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3.2</w:t>
      </w:r>
    </w:p>
    <w:p>
      <w:r>
        <w:t>En l'espèce, il ressort de la décision de l'OAI du 27 février 2015 que la recourante n'a pas reçu et ne recevra pas de paiement rétroactif des rentes totalisant 17'754 fr. En effet, l'OAI a retenu sur ce montant, respectivement 162 fr. (compensation au bénéfice de l'Hospice général) et 17'592 fr. (créance en restitution de l'OAI). En outre, dans son courrier du 23 mars 2015, Me MATHYS DONZE a informé le greffe de l'assistance juridique de l'absence de modification dans la situation financière de la recourante. Par conséquent, contrairement à ce qu'a retenu l'autorité de première instance, la recourante n'est pas en mesure de rembourser le montant fixé dans la décision querellée. De ce point de vue, l'absence de réponse aux courriers adressés à la recourante par le greffe de l'assistance juridique les 27 mars et 15 avril 2015 n'est pas déterminante. Compte tenu de ce qui précède, la décision querellée sera annulée.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juillet 2015 par le Vice-président du Tribunal civil dans la cause AC/1810/2014. Au fond : Annule la décision querellée.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