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AC/1806/2020 vom 28. Juli 2020</w:t>
      </w:r>
    </w:p>
    <w:p>
      <w:r>
        <w:t>GE Cour de justice, 2020-07-28, FR</w:t>
      </w:r>
    </w:p>
    <w:p>
      <w:r>
        <w:rPr>
          <w:b/>
        </w:rPr>
        <w:t xml:space="preserve">Quelle: </w:t>
      </w:r>
      <w:r>
        <w:t>https://mcp.opencaselaw.ch/entscheid/ge_gerichte_AC_1806_2020</w:t>
      </w:r>
    </w:p>
    <w:p>
      <w:r>
        <w:t>FR: GE_GERICHTE AC/1806/2020 du 28 juillet 2020</w:t>
      </w:r>
    </w:p>
    <w:p>
      <w:r>
        <w:t>IT: GE_GERICHTE AC/1806/2020 del 28 luglio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a été déposé dans le délai utile et selon la forme prescrits par la loi, sous réserve de l'exigence de motivation du recours qui fait l'objet du chiffre 2 ci-après.</w:t>
      </w:r>
    </w:p>
    <w:p>
      <w:r>
        <w:rPr>
          <w:b/>
        </w:rPr>
        <w:t>E. 2.1</w:t>
      </w:r>
    </w:p>
    <w:p>
      <w:r>
        <w:t>Le pouvoir d'examen de la Cour est limité à la violation du droit et à la constatation manifestement inexacte des faits (art. 320 CPC, applicable par renvoi de l'art. 8 al. 3 RAJ). Il incombe au recourant de motiver son recours (art. 321 al. 1 CPC), c'est-à-dire de démontrer le caractère erroné de la motivation attaquée. Pour satisfaire à cette exigence, il ne suffit pas au recourant de renvoyer à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l'appelant attaque et des pièces du dossier sur lesquelles repose sa critique (ATF 138 III 374 consid. 4.3.1; arrêt du Tribunal fédéral 5A_89/2014 du 15 avril 2014 consid. 5.3.2). Il appartient au recourant non seulement de motiver, en droit, son recours mais également de démontrer l'arbitraire des faits retenus par l'instance inférieure. Le recourant ne peut ainsi se borner à opposer sa propre version des faits à celle du premier juge et il n'est pas entré en matière lorsqu'il n'expose pas avec précision en quoi un point de fait a été établi de manière manifestement inexacte (HOHL, Procédure civile, tome II, n. 2513 à 2515). La motivation du recours constitue une condition de recevabilité, qui doit être examinée d'office. Lorsque le recours est insuffisamment motivé, l'autorité cantonale n'entre pas en matière (arrêt du Tribunal fédéral 5A_89/2014 précité).</w:t>
      </w:r>
    </w:p>
    <w:p>
      <w:r>
        <w:rPr>
          <w:b/>
        </w:rPr>
        <w:t>E. 2.2</w:t>
      </w:r>
    </w:p>
    <w:p>
      <w:r>
        <w:t>En l'espèce, la Vice-présidente du Tribunal de première instance a retenu que l'acte d'appel ne satisfaisait pas aux exigences posées par la jurisprudence en lien avec l'art. 311 CPC. En effet, le recourant énonçait divers griefs de manière toute générale sans expliquer en quoi le Tribunal aurait violé la loi. L'appel paraissait dès lors manifestement irrecevable, de sorte que la cause du recourant était dépourvue de toute chance de succès. Dans un recours prolixe de 30 pages, qui ne constitue pour l'essentiel qu'un copier-coller de l'acte d'appel du recourant contre l'ordonnance OTPI/387/2020 , l'intéressé ne formule aucun grief contre le pronostic émis par la Vice-présidente du Tribunal de première instance au sujet des mérites de sa cause. En l'absence de toute critique à l'encontre de la décision de l'autorité de première instance, le recours doit être déclaré irrecevable, puisqu'il ne répond pas aux exigences minimales de motivation posées par la loi et la jurisprudence.</w:t>
      </w:r>
    </w:p>
    <w:p>
      <w:r>
        <w:rPr>
          <w:b/>
        </w:rPr>
        <w:t>E. 3</w:t>
      </w:r>
    </w:p>
    <w:p>
      <w:r>
        <w:t>Sauf exceptions non réalisées en l'espèce, il n'est pas perçu de frais judiciaires pour la procédure d'assistance juridique (art. 119 al. 6 CPC). * * * * * PAR CES MOTIFS, LE VICE-PRÉSIDENT DE LA COUR : Déclare irrecevable le recours formé par A______ contre la décision rendue le 28 juillet 2020 par la Vice-présidente du Tribunal de première instance dans la cause AC/1806/2020.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