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AC/1777/2016 vom 23. Juni 2016</w:t>
      </w:r>
    </w:p>
    <w:p>
      <w:r>
        <w:t>GE Cour de justice, 2016-06-23, FR</w:t>
      </w:r>
    </w:p>
    <w:p>
      <w:r>
        <w:rPr>
          <w:b/>
        </w:rPr>
        <w:t xml:space="preserve">Quelle: </w:t>
      </w:r>
      <w:r>
        <w:t>https://mcp.opencaselaw.ch/entscheid/ge_gerichte_AC_1777_2016</w:t>
      </w:r>
    </w:p>
    <w:p>
      <w:r>
        <w:t>FR: GE_GERICHTE AC/1777/2016 du 23 juin 2016</w:t>
      </w:r>
    </w:p>
    <w:p>
      <w:r>
        <w:t>IT: GE_GERICHTE AC/1777/2016 del 23 giugno 2016</w:t>
      </w:r>
    </w:p>
    <w:p>
      <w:pPr>
        <w:pStyle w:val="Heading2"/>
      </w:pPr>
      <w:r>
        <w:t>Regeste</w:t>
      </w:r>
    </w:p>
    <w:p>
      <w:r>
        <w:t>DÉNUEMENT; FORTUNE MOBILIÈRE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Bien que le recourant n'ait pas pris de conclusions formelles, on comprend qu'il sollicite l'annulation de la décision entreprise et l'octroi de l'assistance juridique, de sorte que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Par conséquent, les allégués de faits et les pièces nouvelles produites par le recourant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3.2</w:t>
      </w:r>
    </w:p>
    <w:p>
      <w:r>
        <w:t>En l'espèce, c'est à juste titre que le recourant fait valoir que seule l'indemnité de 1'660 fr. par mois que lui verse le SPC doit être pris en considération dès lors que la somme de 9'924 fr. 30 lui a été versée à titre de remboursement de frais médicaux effectifs, dont il n'est pas tenu compte dans ses charges. Cela étant, les autres revenus et charges du recourant et de son épouse n'étant pas contestés, les ressources mensuelles de ce ménage s'élèvent à 4'447 fr. (588 fr. de rente AVS, 2'200 fr. de rente 2 ème pilier et 1'659 fr. de prestations du SPC) pour des charges de 3'880 fr. par mois. Les revenus du ménage dépassent encore de 567 fr. le minimum vital strict en vigueur à Genève, ce qui permettra au recourant d'assumer les frais de procédure et les honoraires d'un conseil dans le cadre une procédure sur mesures protectrices de l'union conjugale, qui ne devraient pas dépasser 5'000 fr., car cette procédure a la particularité d'être simple et rapide. Par ailleurs, le recourant n'a pas contesté détenir la fortune de 65'000 fr. retenue par le premier juge sur la base du décompte du SPC.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9 juillet 2016 par A______ contre la décision rendue le 23 juin 2016 par le Vice-président du Tribunal civil dans la cause AC/1777/2016.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