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AC/1771/2019 vom 28. März 2024</w:t>
      </w:r>
    </w:p>
    <w:p>
      <w:r>
        <w:t>GE Cour de justice, 2024-03-28, FR</w:t>
      </w:r>
    </w:p>
    <w:p>
      <w:r>
        <w:rPr>
          <w:b/>
        </w:rPr>
        <w:t xml:space="preserve">Quelle: </w:t>
      </w:r>
      <w:r>
        <w:t>https://mcp.opencaselaw.ch/entscheid/ge_gerichte_AC_1771_2019</w:t>
      </w:r>
    </w:p>
    <w:p>
      <w:r>
        <w:t>FR: GE_GERICHTE AC/1771/2019 du 28 mars 2024</w:t>
      </w:r>
    </w:p>
    <w:p>
      <w:r>
        <w:t>IT: GE_GERICHTE AC/1771/2019 del 28 marzo 2024</w:t>
      </w:r>
    </w:p>
    <w:p>
      <w:pPr>
        <w:pStyle w:val="Heading2"/>
      </w:pPr>
      <w:r>
        <w:t>Erwägungen</w:t>
      </w:r>
    </w:p>
    <w:p>
      <w:r>
        <w:rPr>
          <w:b/>
        </w:rPr>
        <w:t>E. 1</w:t>
      </w:r>
    </w:p>
    <w:p>
      <w:r>
        <w:t>1.1. 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2.1.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2.1.1 Le tribunal n'entre en matière que sur les demandes et les requêtes qui satisfont aux conditions de recevabilité de l'action (art. 59 al. 1 CPC). Le demandeur doit, notamment, avoir un intérêt digne de protection (art. 59 al. 2 let. a CPC). Celui qui a pris part à la procédure devant l'autorité précédente ou a été privé de la possibilité de le faire est ainsi légitimé à recourir, pour autant qu'il dispose d'un intérêt digne de protection à l'annulation ou à la modification de la décision entreprise (cf. art. 59 al. 2 let. a CPC également applicable devant l'autorité d'appel; arrêt du Tribunal fédéral 5D_14/2020 du 28 octobre 2020 consid. 4.3.1 et les références citées). Cet intérêt doit être actuel (ATF 131 II 361 consid. 1.2; parmi plusieurs : arrêt du Tribunal fédéral 5A_52/2022 du 9 février 2022 consid. 3). Il doit exister non seulement au moment du dépôt du recours, mais encore au moment où l'arrêt est rendu (ATF 136 II 101 consid. 1.1; parmi plusieurs : arrêt du Tribunal fédéral 4A_306/2022 du 14 juillet 2022). L'absence d'intérêt digne de protection doit être relevée d'office, à tous les stades de la procédure (art. 60 CPC; ATF 130 III 430 consid. 3.1).</w:t>
      </w:r>
    </w:p>
    <w:p>
      <w:r>
        <w:rPr>
          <w:b/>
        </w:rPr>
        <w:t>E. 2.2</w:t>
      </w:r>
    </w:p>
    <w:p>
      <w:r>
        <w:t>En l'espèce, par décision du 1 er février 2024, le Tribunal de protection a autorisé les parents nourriciers de C______ à voyager en Indonésie avec celui-ci du 30 mars au 4 août 2024. Cette décision a été déclarée immédiatement exécutoire, nonobstant recours, et la Cour de justice a refusé de restituer l'effet suspensif au recours formé par la recourante contre la décision du Tribunal de protection par décision du 24 mars 2024. Il en découle que les parents nourriciers de C______ et ce dernier ont entamé leur voyage le 30 mars 2024 et qu'ils seront de retour dans deux mois, soit le 30 août 2024. Au vu de ce qui précède, la recourante n'a vraisemblablement plus d'intérêt actuel à s'opposer à l'annulation de l'ordonnance qui autorise le voyage de l'enfant puisque ce dernier est d'ores et déjà en cours et que le temps que la Cour statue sur le recours formé par la recourante l'enfant sera déjà de retour à Genève. En tout état, si la Cour devait statuer rapidement, il est vraisemblable que celle-ci ira dans le sens de la confirmation de l'ordonnance querellée, le retour prématuré de l'enfant ne semblant pas être dans son intérêt. Pour le surplus, la recourante n'indique pas en quoi la décision du premier juge serait critiquable, se limitant à répéter les arguments déjà développés. Le recours formé par la recourante est ainsi, a priori , dépourvu de chances de succès. Par conséquent, le recours sera rejeté.</w:t>
      </w:r>
    </w:p>
    <w:p>
      <w:r>
        <w:rPr>
          <w:b/>
        </w:rPr>
        <w:t>E. 3</w:t>
      </w:r>
    </w:p>
    <w:p>
      <w:r>
        <w:t>Sauf exceptions non réalisées en l'espèce, il n'est pas perçu de frais judiciaires pour la procédure d'assistance juridique (art. 119 al. 6 CPC). * * * * * PAR CES MOTIFS, LA VICE-PRÉSIDENTE DE LA COUR : A la forme : Déclare recevable le recours formé le 29 avril 2024 par A______ contre la décision rendue le 28 mars 2024 par la vice-présidence du Tribunal civil dans la cause AC/1771/2019.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