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AC/1768/2022 vom 27. Juli 2022</w:t>
      </w:r>
    </w:p>
    <w:p>
      <w:r>
        <w:t>GE Cour de justice, 2022-07-27, FR</w:t>
      </w:r>
    </w:p>
    <w:p>
      <w:r>
        <w:rPr>
          <w:b/>
        </w:rPr>
        <w:t xml:space="preserve">Quelle: </w:t>
      </w:r>
      <w:r>
        <w:t>https://mcp.opencaselaw.ch/entscheid/ge_gerichte_AC_1768_2022</w:t>
      </w:r>
    </w:p>
    <w:p>
      <w:r>
        <w:t>FR: GE_GERICHTE AC/1768/2022 du 27 juillet 2022</w:t>
      </w:r>
    </w:p>
    <w:p>
      <w:r>
        <w:t>IT: GE_GERICHTE AC/1768/2022 del 27 luglio 2022</w:t>
      </w:r>
    </w:p>
    <w:p>
      <w:pPr>
        <w:pStyle w:val="Heading2"/>
      </w:pPr>
      <w:r>
        <w:t>Regeste</w:t>
      </w:r>
    </w:p>
    <w:p>
      <w:r>
        <w:t>LPA.10.al3</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pièces nouvelles produites par le recourant à l'appui de son recours ne seront pas prises en considération.</w:t>
      </w:r>
    </w:p>
    <w:p>
      <w:r>
        <w:rPr>
          <w:b/>
        </w:rPr>
        <w:t>E. 3.1</w:t>
      </w:r>
    </w:p>
    <w:p>
      <w:r>
        <w:t>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L’ALCP et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 RS 142.203), s’appliquent en premier lieu aux ressortissants des pays membres de l’UE/AELE. La loi fédérale sur les étrangers et l'intégration du 16 décembre 2005 (LEI - RS 142.20) ne s’applique à eux que si ses dispositions sont plus favorables que celles de l’ALCP et si ce dernier ne contient pas de dispositions dérogatoires (art. 12 ALCP; art. 2 LEI). Les droits d’entrée, de séjour et d’accès à une activité économique conformément à l’ALCP, y compris le droit de demeurer sur le territoire d’une partie contractante après la fin d’une activité économique, sont réglés par l’annexe 1 de l’ALCP (art. 3, 4 et 7 let. c ALCP). Selon l’art. 6 par. 1 annexe 1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1 ALCP (arrêts du Tribunal fédéral 2C_95/2016 du 15 février 2016 ; 2C_1162/2014 du 8 décembre 2015) A ce propos, le Tribunal fédéral considère que, sous réserve d’une situation d’abus de droit où un ressortissant communautaire se rendrait dans un autre État membre pour y exercer un travail fictif ou d’une durée extrêmement limitée dans le but de bénéficier de certaines aides (ATF 141 II 1 consid. 2.2.1; 131 II 339 consid. 3.4 ; arrêt du Tribunal fédéral 2C_968/2016 du 8 mars 2017 consid. 6.1), les intentions ou le comportement de l’intéressé avant ou après sa période d’emploi ne sont pas déterminants pour examiner sa qualité de travailleur salarié. Seuls comptent les critères objectifs énoncés par la jurisprudence (ATF 131 II 339 consid. 4.3; arrêt du Tribunal fédéral 2C_390/2013 du 10 avril 2014 consid. 3.1 et les références citées). La jurisprudence a retenu que le détenteur d’une autorisation de séjour UE/AELE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 A teneur de l’art. 23 al. 1 OLCP, une autorisation de séjour UE/AELE peut être révoquée ou ne pas être renouvelée lorsque les conditions requises pour sa délivrance ne sont plus remplies (arrêt du Tribunal fédéral 2C_1162/2014 du 8 décembre 2015 consid. 3.3 et les références citées). Selon l’art. 24 § 1 annexe 1 ALCP, 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 requérant n’exerçant pas d’activité économique et ne disposant pas de revenus suffisants pour ne pas devoir faire appel à l’aide sociale ne saurait bénéficier d’une autorisation de séjour au sens de l’art. 24 par. 1 let. a et par. 2 annexe I ALCP (ATF 135 II 265 consid. 3.3 et la jurisprudence citée; arrêt du Tribunal fédéral 2C_710/2011 du 10 février 2012 consid. 3.2; ATA/455/2012 du 30 juillet 2012).</w:t>
      </w:r>
    </w:p>
    <w:p>
      <w:r>
        <w:rPr>
          <w:b/>
        </w:rPr>
        <w:t>E. 3.3</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faits nouveaux "anciens"; ATA/539/2020 du 29 mai 2020 consid. 5b). Une telle obligation existe également lorsque la situation du destinataire de la décision s'est notablement modifiée depuis la première décision (art. 48 al. 1 let. b LPA). Il faut entendre par là des faits nouveaux «nouveaux»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ATA/1244/2019 du 13 août 2019 consid. 5;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ATA/1244/2019 précité consid. 5b). Une demande de reconsidération ne doit pas permettre de remettre continuellement en cause des décisions entrées en force et d'éluder les dispositions légales sur les délais de recours (ATF 136 II 177 consid. 2.1;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Thierry TANQUEREL, op. cit., n. 1417). La procédure de reconsidération ne constitue pas un moyen de réparer une erreur de droit ou une omission dans une précédente procédure (ATF 111 Ib 211 consid. 2).</w:t>
      </w:r>
    </w:p>
    <w:p>
      <w:r>
        <w:rPr>
          <w:b/>
        </w:rPr>
        <w:t>E. 3.4</w:t>
      </w:r>
    </w:p>
    <w:p>
      <w:r>
        <w:t>En l'espèce, il n’apparaît pas de prime abord que la décision dont la reconsidération est demandée ait été prise sous l'influence d'un crime ou d'un délit (art. 80 let. a LPA) ou que des faits ou des moyens de preuve nouveaux et importants existaient, que le recourant ne pouvait connaître ou invoquer dans la procédure précédente (art. 80 let. b LPA). La décision de refus d’entrer en matière rendue par l’OCPM semble de ce point de vue fondée. Il n’apparaît pas non plus a priori, au regard du dossier, que la situation du recourant ait notablement changé depuis la décision de refus de renouvellement de son autorisation de séjour rendue par l’OCPM et confirmée en dernier lieu par le Tribunal fédéral. En effet, les arguments soulevés dans la demande de reconsidération du 5 avril 2021, relatifs à l’absence de logement ou d’attaches en France et aux difficultés de réintégration dans ce pays ne sont pas nouveaux. Ils ont expressément été pris en compte par toutes les instances précédentes dans le cadre de l’analyse du refus de renouvellement de son autorisation de séjour, tout comme sa situation personnelle. Ainsi, a priori, l'examen de sa demande de reconsidération a été réalisé de manière conforme au droit par l’autorité compétente. Il en va de même de la réouverture d’une instruction par l’assurance-invalidité, à la suite de sa demande de révision du refus de rente invalidité. Cet élément, s’il peut de prime abord être considéré comme un fait nouveau, ne semble pas être important au point de permettre la remise en question de la décision du 27 mars 2019. En effet, il a déjà été tranché par les instances précédentes qu’au moment de la survenue de son incapacité de travail, le recourant n’avait pas la qualité de travailleur lui permettant de bénéficier d’un droit de demeurer. En outre, les démarches entreprises n’impliquent pas, prima facie, la présence du recourant en Suisse, et pourraient être poursuivies depuis la France. Ainsi, faute d’élément nouveau notable, il apparaît que l’OCPM n’a de prime abord pas violé la loi ni abusé de son pouvoir d’appréciation en refusant d’entrer en matière sur la demande de reconsidération formée par le recourant. Par conséquent, dans ces circonstances, le recours contre la décision de l’OCPM du 28 avril 2022 semble a priori dénué de chances de succès. C’est donc de manière conforme au droit que l’autorité de première instance a refusé d’octroyer le bénéfice de l’assistance juridique au recourant. Infondé, le recours sera dès lors rejeté.</w:t>
      </w:r>
    </w:p>
    <w:p>
      <w:r>
        <w:rPr>
          <w:b/>
        </w:rPr>
        <w:t>E. 4</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 27 juillet 2022 par la Vice-présidente du Tribunal de première instance dans la cause AC/1768/2022.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