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AC/1742/2016 vom 20. Juli 2016</w:t>
      </w:r>
    </w:p>
    <w:p>
      <w:r>
        <w:t>GE Cour de justice, 2016-07-20, FR</w:t>
      </w:r>
    </w:p>
    <w:p>
      <w:r>
        <w:rPr>
          <w:b/>
        </w:rPr>
        <w:t xml:space="preserve">Quelle: </w:t>
      </w:r>
      <w:r>
        <w:t>https://mcp.opencaselaw.ch/entscheid/ge_gerichte_AC_1742_2016</w:t>
      </w:r>
    </w:p>
    <w:p>
      <w:r>
        <w:t>FR: GE_GERICHTE AC/1742/2016 du 20 juillet 2016</w:t>
      </w:r>
    </w:p>
    <w:p>
      <w:r>
        <w:t>IT: GE_GERICHTE AC/1742/2016 del 20 luglio 2016</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Se fondant sur la même argumentation que dans le recours formé devant la Chambre administrative de la Cour de justice, la recourante fait grief au Vice-président du Tribunal civil d'avoir considéré que sa cause était dénuée de chances de succès.![endif]&gt;![if&gt;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En vertu des art. 32 al. 1 et 33 al. 1 de la Loi cantonale sur l'insertion et l'aide sociale individuelle (LIASI), en contrepartie des prestations auxquelles a droit le bénéficiaire, ce dernier s'engage notamment à fournir tous les renseignements nécessaires pour établir son droit et fixer le montant des prestations d'aide financière, ainsi qu'à informer immédiatement l'Hospice général de tout fait nouveau de nature à entraîner la modification du montant des prestations d'aide financière qui lui sont allouées ou leur suppression. Le document intitulé "Mon engagement en demandant une aide financière à l'Hospice général" concrétise cette obligation ( ATA/239/2015 ; ATA/864/2014 ; ATA/756/2014 ). L'Hospice général réclame au bénéficiaire, à sa succession ou à ses héritiers qui l'ont acceptée, le remboursement de toute prestation d'aide financière perçue indûment – soit sans droit – par la suite de la négligence ou de la faute du bénéficiaire, le remboursement des prestations indûment touchées pouvant également être réclamé si le bénéficiaire, sans avoir commis de faute ou de négligence, n'est pas de bonne foi (art. 36 al. 1 à 3 LIASI). De jurisprudence constante, toute prestation obtenue en violation de l'obligation de renseigner l'Hospice général est une prestation perçue indûment ( ATA/172/2016 ; ATA/239/2015 ; ATA/864/2014 ). Par ailleurs, un assuré qui viole ses obligations d’informer l’hospice de sa situation financière ne peut être considéré de bonne foi ( ATA/1024/2014 du 16 décembre 2014 ; ATA/368/2010 du 1er juin 2010).</w:t>
      </w:r>
    </w:p>
    <w:p>
      <w:r>
        <w:rPr>
          <w:b/>
        </w:rPr>
        <w:t>E. 2.2</w:t>
      </w:r>
    </w:p>
    <w:p>
      <w:r>
        <w:t>En l'espèce, la recourante fait valoir qu'elle ignorait que son fils avait signé une convention avec le SCARPA en vue de percevoir directement la pension alimentaire qui lui était due. Or la recourante ne peut démontrer la véracité de cette allégation. Au demeurant, celle-ci paraît invraisemblable, ce d'autant plus qu'elle fait ménage commun avec son fils. Par ailleurs, la recourante se contente de nier qu'elle aurait pu se rendre compte que la pension litigieuse n'apparaissait plus sur les décomptes de l'Hospice général, sans toutefois exposer en quoi les considérations du Vice-président du Tribunal civil sur ce point seraient arbitraires. Comme l'a retenu à juste titre l'Autorité de première instance, en n'informant pas l'Hospice général des changements intervenus dans la situation financière de son ménage, la recourante a commis une faute, ou à tout le moins une négligence, de sorte qu'elle est a priori tenue de rembourser l'intégralité des prestations perçues indûment. Le simple fait que son fils ait demandé au SCARPA, en février 2014, de verser la pension alimentaire due en sa faveur directement en mains de l'Hospice ne suffit par ailleurs pas à démontrer la bonne foi de la recourante en ce qui concerne la non déclaration du changement de situation financière intervenu en février 2013. Compte tenu de ce qui précède, c'est à bon droit que le Vice-président du Tribunal civil a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4).![endif]&gt;![if&gt; * * * * * PAR CES MOTIFS, LE VICE-PRÉSIDENT DE LA COUR : A la forme : Déclare recevable le recours formé par A______ contre la décision rendue le 20 juillet 2016 par le Vice-président du Tribunal civil dans la cause AC/1742/2016. Au fond : Le rejette. Déboute A______ de toutes autres conclusions. Dit qu'il n'est pas perçu de frais judiciaires pour le recours, ni alloué de dépens. Notifie une copie de la présente décision à A______ en l'Étude de M e Samir DJAZIRI (art. 137 CPC). Siégeant : Monsieur Jean-Marc STRUBIN,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