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AC/16/2011 vom 9. Oktober 2015</w:t>
      </w:r>
    </w:p>
    <w:p>
      <w:r>
        <w:t>GE Cour de justice, 2015-10-09, FR</w:t>
      </w:r>
    </w:p>
    <w:p>
      <w:r>
        <w:rPr>
          <w:b/>
        </w:rPr>
        <w:t xml:space="preserve">Quelle: </w:t>
      </w:r>
      <w:r>
        <w:t>https://mcp.opencaselaw.ch/entscheid/ge_gerichte_AC_16_2011</w:t>
      </w:r>
    </w:p>
    <w:p>
      <w:r>
        <w:t>FR: GE_GERICHTE AC/16/2011 du 9 octobre 2015</w:t>
      </w:r>
    </w:p>
    <w:p>
      <w:r>
        <w:t>IT: GE_GERICHTE AC/16/2011 del 9 ottobre 2015</w:t>
      </w:r>
    </w:p>
    <w:p>
      <w:pPr>
        <w:pStyle w:val="Heading2"/>
      </w:pPr>
      <w:r>
        <w:t>Regeste</w:t>
      </w:r>
    </w:p>
    <w:p>
      <w:r>
        <w:t>REMBOURSEMENT DE FRAIS(ASSISTANCE); FORTUNE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![endif]&gt;![if&gt;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(ATF 137 III 617 consid. 4-6 ; arrêt du Tribunal fédéral 5A_417/2013 du 25 février 2014 consid. 3.1, concernant l'appel).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la recourante contre le jugement entrepris, étant rappelé que, en procédure simplifiée, une motivation sommaire est admise. Par ailleurs, si la recourante n'a pas pris de conclusion formelle, on comprend clairement qu'il sollicite l'annulation de la décision querellée. Au vu de ce qui précède, le recours est recevable.</w:t>
      </w:r>
    </w:p>
    <w:p>
      <w:r>
        <w:rPr>
          <w:b/>
        </w:rPr>
        <w:t>E. 2.1</w:t>
      </w:r>
    </w:p>
    <w:p>
      <w:r>
        <w:t>Toute personne qui ne dispose pas de ressources suffisantes a droit à l'assistance judiciaire à moins que sa cause paraisse dépourvue de toute chance de succès (art. 29 al. 3 Cst. et art. 117 CPC). D'après les art. 120 CPC et 9 RAJ, l'assistance juridique est retirée lorsque les conditions d'octroi ne sont plus remplies ou qu'il s'avère qu'elles ne l'ont jamais été. Selon l'art. 10 al. 2 RAJ, la personne bénéficiaire est entendue sauf si l'urgence ou les circonstances s'y opposent. En principe, le retrait de l'assistance judiciaire ne rétroagit pas (Message du Conseil fédéral du 28 juin 2006 relatif au code de procédure civile suisse, p. 6914). Un effet rétroactif (ex tunc) ne peut qu'exceptionnellement entrer en considération (par exemple, lorsque l'assistance judiciaire a été indûment obtenue en présentant des informations fausses) (arrêt du Tribunal fédéral 5A_305/2013 consid. 3.5). Si l'amélioration de la situation financière du bénéficiaire intervient postérieurement à la fin de la procédure pour laquelle l'assistance juridique a été accordée, c'est par un remboursement selon l'art. 123 al. 1 CPC, et non par une décision de retrait, que ledit bénéficiaire pourrait être tenu de restituer les prestations perçues (Tappy, Code de procédure civile commenté, 2011, n. 10 ad art. 120 CPC). Les créances ne peuvent pas être prises en compte dans l'établissement de la situation financière de l'intéressé, seules les ressources effectives étant déterminantes ( DAAJ/101/2014 du 13 novembre 2014 consid. 3.2).</w:t>
      </w:r>
    </w:p>
    <w:p>
      <w:r>
        <w:rPr>
          <w:b/>
        </w:rPr>
        <w:t>E. 2.2</w:t>
      </w:r>
    </w:p>
    <w:p>
      <w:r>
        <w:t>En l'espèce, le premier juge a retenu que la recourante était copropriétaire d'un bien immobilier en Espagne et détenait une somme de 75'000 Euro lors du dépôt de la requête en assistance juridique. Il a constaté que les conditions d'octroi de l'assistance juridique n'étaient manifestement pas remplies lors de la requête d'assistance juridique mais n'a toutefois pas rendu de décision de retrait de l'assistance juridique envers la recourante. Le premier juge a ensuite considéré que la recourante n'avait entrepris aucune démarche pour obtenir le montant de 40'000 fr. qui lui était dû selon le jugement de divorce. Certes, ce montant ne consiste qu'en une créance. Celle-ci résulte toutefois d'un jugement définitif et exécutoire, le débiteur de cette créance réside à Genève et n'est pas sans ressources, la somme de 40'000 fr. consistant dans la moitié de la valeur de rachat de son 3 ème pilier, de sorte que la recourante paraît être en mesure de recouvrer sa créance. En outre, la recourante n'a pas prouvé ne plus disposer des 75'000 Euros qu'elle détenait sur un compte bancaire en Espagne en 2010 et il est peu vraisemblable qu'un tel établissement se refuse à lui délivrer une attestation d'état du compte. Par conséquent, c'est à juste titre que le premier juge a considéré que la recourante avait la possibilité de rembourser la somme de 20'190 fr. à l'assistance juridique. Compte tenu de ce qui précède, le recours sera rejeté.</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9 octobre 2015 par le Vice-président du Tribunal civil dans la cause AC/16/2011.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