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AC/1695/2020 vom 8. Juli 2020</w:t>
      </w:r>
    </w:p>
    <w:p>
      <w:r>
        <w:t>GE Cour de justice, 2020-07-08, FR</w:t>
      </w:r>
    </w:p>
    <w:p>
      <w:r>
        <w:rPr>
          <w:b/>
        </w:rPr>
        <w:t xml:space="preserve">Quelle: </w:t>
      </w:r>
      <w:r>
        <w:t>https://mcp.opencaselaw.ch/entscheid/ge_gerichte_AC_1695_2020</w:t>
      </w:r>
    </w:p>
    <w:p>
      <w:r>
        <w:t>FR: GE_GERICHTE AC/1695/2020 du 8 juillet 2020</w:t>
      </w:r>
    </w:p>
    <w:p>
      <w:r>
        <w:t>IT: GE_GERICHTE AC/1695/2020 del 8 luglio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1.3</w:t>
      </w:r>
    </w:p>
    <w:p>
      <w:r>
        <w:t>En l'espèce, le recours est recevable pour avoir été interjeté dans le délai utile et en la forme écrite prescrite par la loi.</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rPr>
          <w:b/>
        </w:rPr>
        <w:t>E. 2.2</w:t>
      </w:r>
    </w:p>
    <w:p>
      <w:r>
        <w:t>En l'espèce, le Tribunal a élargi le droit de visite du père en passant en modalité "accueil" au sein du Point Rencontre en raison des éléments positifs portés à sa connaissance par le SEASP, le Point Rencontre, le SPMi et le psychiatre sexologue consulté par le père, à savoir notamment que le père ne présentait aucun risque pour l'enfant et que les visites au Point Rencontre se déroulaient bien. La clôture de la procédure pénale dirigée contre le père par le prononcé d'une ordonnance de non-entrée en matière semble également avoir joué un rôle dans la décision d'élargissement du droit de visite, dès lors que la modalité - plus restrictive - du "un pour un" avait notamment été instaurée en raison de l'ouverture de cette procédure pénale. Les critiques soulevées par la recourante à l'encontre de ces considérations semblent tomber à faux. En effet, la recourante revient sur les faits s'étant déroulés entre 2006 et 2008 alors que son ex-conjoint a produit - à sa requête d'ailleurs - une attestation médicale stipulant qu'il ne présentait plus de troubles comme ceux qu'il avait eus entre 2006 et 2008, que la procédure pénale dirigée à l'encontre de ce dernier en lien avec ces événements a été clôturée faute d'éléments suffisants et que le pédiatre de l'enfant et les référents de la crèche n'ont relevé aucun problème chez l'enfant et le père. La contestation par la recourante de la force probante de l'attestation médicale du psychiatre sexologue consulté par le père de son enfant ne semble d'ailleurs se fonder sur aucun élément concret, la recourante se bornant à affirmer péremptoirement que ce document est expéditif et se baserait sur des faits manifestement incomplets et certainement mensongers rapportés par le père. La recourante fait également grand cas du fait que le père de son enfant n'aurait pas produit d'attestation confirmant que sa consommation de toxiques n'empiéterait pas sur ses compétences parentales, comme le lui avait demandé le Tribunal à l'audience du 30 septembre 2019. Or, vu la réticence de la recourante relativement à l'attestation du psychiatre sexologue, il n'est pas certain que la production de ce document puisse réellement la rassurer. En tout état, vu le droit de visite restreint réservé au père, qui doit s'exercer au sein du Point Rencontre que ce soit en modalité "un pour un" ou "accueil", cet élément n'apparaît pas déterminant à ce stade. En outre, lorsqu'elle fait valoir qu'un droit de visite hebdomadaire l'empêcherait de prévoir des week-ends hors de Genève avec son enfant, la recourante semble placer son propre intérêt avant celui de sa fille, qui commande d'avoir des contacts réguliers avec son père. Enfin, contrairement à que soutient la recourante, il n'apparaît pas que la plainte pénale déposée par son ex-conjoint à son encontre pour diffamation impacterait les compétences parentales du père et l'empêcherait de prendre les décisions conformes à l'intérêt de sa fille. Certes, la communication parentale s'avère difficile. Ce seul élément ne suffit cependant pas prima facie à justifier un retrait de l'autorité parentale au père. C'est par conséquent à bon droit que l'Autorité de première instance a considéré que les chances de succès du recours que souhaitait interjeter la recourante à l'encontre de la décision du 30 septembre 2019 étaient extrêmement faibles.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par A______ contre la décision rendue le 8 juillet 2020 par la Vice-présidente du Tribunal de première instance dans la cause AC/1695/2020. Au fond : Le rejette. Déboute A______ de toutes autres conclusions. Dit qu'il n'est pas perçu de frais judiciaires pour le recours, ni alloué de dépens. Notifie une copie de la présente décision à A______ en l'Étude de M e Marco CRISANTE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