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AC/1694/2024 vom 16. Oktober 2025</w:t>
      </w:r>
    </w:p>
    <w:p>
      <w:r>
        <w:t>GE Cour de justice, 2025-10-16, FR</w:t>
      </w:r>
    </w:p>
    <w:p>
      <w:r>
        <w:rPr>
          <w:b/>
        </w:rPr>
        <w:t xml:space="preserve">Quelle: </w:t>
      </w:r>
      <w:r>
        <w:t>https://mcp.opencaselaw.ch/entscheid/ge_gerichte_AC_1694_2024</w:t>
      </w:r>
    </w:p>
    <w:p>
      <w:r>
        <w:t>FR: GE_GERICHTE AC/1694/2024 du 16 octobre 2025</w:t>
      </w:r>
    </w:p>
    <w:p>
      <w:r>
        <w:t>IT: GE_GERICHTE AC/1694/2024 del 16 ottobre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Il incombe au recourant de motiver son recours (art. 321 al. 1 CPC), c'est-à-dire de démontrer le caractère erroné de la motivation attaquée. Pour satisfaire à cette exigence, il ne suffit pas au recourant de renvoyer à une écriture antérieure, ni de se livrer à des critiques toutes générales de la décision attaquée (arrêt du Tribunal fédéral 5A_781/2024 du 9 mai 2025 consid. 3.3.2; DAS/5/2021 du 12 janvier 2021 consid. 2.1). Sa motivation doit être suffisamment explicite pour que l'instance de recours puisse la comprendre aisément, ce qui suppose une désignation précise des passages de la décision que l'appelant attaque et des pièces du dossier sur lesquelles repose sa critique (ATF 138 III 374 consid. 4.3.1; arrêt du Tribunal fédéral 5A_89/2014 du 15 avril 2014 consid. 5.3.2).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(ATF 146 IV 114 consid. 2.1; 142 III 364 consid. 2.4; 140 III 264 consid. 2.3; arrêt du Tribunal fédéral 5A_306/2025 du 24 septembre 2025 consid. 2.1). La motivation du recours constitue une condition de recevabilité qui doit être examinée d'office. Lorsque le recours est insuffisamment motivé, l'autorité cantonale n'entre pas en matière (arrêt du Tribunal fédéral 4D_175/2024 du 11 février 2025 consid. 3.2 et 3.4; DAS/5/2021 du 12 janvier 2021 consid. 2.1).</w:t>
      </w:r>
    </w:p>
    <w:p>
      <w:r>
        <w:rPr>
          <w:b/>
        </w:rPr>
        <w:t>E. 1.2</w:t>
      </w:r>
    </w:p>
    <w:p>
      <w:r>
        <w:t>En l'espèce, le recours est recevable pour avoir été interjeté dans le délai utile et en la forme écrite prescrite par la loi. En revanche, la motivation du recours est très lacunaire. Par ailleurs, l'on comprend de son écriture que le recourant soutient que la garde de type 60/40 ne reflèterait pas la réalité, de sorte qu'il reproche à l'instance inférieure d'avoir constaté les faits de manière inexacte. Il ne motive toutefois pas en quoi cette constatation inexacte des faits serait manifeste. La question de la recevabilité du recours peut cependant demeurer ouverte compte tenu de l'issue de celui-ci.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faits et les pièces nouvelles dont le recourant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à bien comprendre le recourant, celui-ci soutient que l'avis du SEASP n'aurait pas été pris en compte. Il sollicite dès lors que la décision du Tribunal reflète la réalité, ce qui ne serait pas le cas, puisque, selon lui, une garde de type "40/60" ne correspondrait pas à la réalité. L'intéressé ne formule ainsi aucun grief concret contre le constat émis par la Vice-présidence du Tribunal civil au sujet de l'impossibilité de déterminer les chances de succès de son argument, se contentant d'affirmer que la situation de garde décrite par le Tribunal ne refléterait pas la réalité. A supposer que le recours soit recevable, il doit être rejeté pour les motifs qui suivent. Indépendamment du contenu du rapport du SEASP s'agissant de la garde de l'enfant, il n'en demeure pas moins que le juge demeure libre d'apprécier ce rapport et d'aboutir à une solution différente à la lumière d'autres éléments du dossier, ce qu'il a fait dans le cas d'espèce sans avoir été dûment remis en cause. En outre, le recourant n'ayant fourni devant la Vice-présidence du Tribunal civil aucune preuve à l'appui des faits qu'il a allégués, celle-ci n'était, en tout état, pas en mesure d'évaluer les réelles chances de succès de l'appel. La décision refusant d'octroyer l'extension de l'assistance juridique au recourant sera ainsi confirmée. Partant, le recours, infondé, sera rejeté dans la mesure de sa recevabilité.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Rejette, dans la mesure de sa recevabilité, le recours formé le 28 octobre 2025 par A______ contre la décision rendue le 16 octobre 2025 par la vice-présidence du Tribunal civil dans la cause AC/1694/2024.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