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AC/1683/2012 vom 29. April 2021</w:t>
      </w:r>
    </w:p>
    <w:p>
      <w:r>
        <w:t>GE Cour de justice, 2021-04-29, FR</w:t>
      </w:r>
    </w:p>
    <w:p>
      <w:r>
        <w:rPr>
          <w:b/>
        </w:rPr>
        <w:t xml:space="preserve">Quelle: </w:t>
      </w:r>
      <w:r>
        <w:t>https://mcp.opencaselaw.ch/entscheid/ge_gerichte_AC_1683_2012</w:t>
      </w:r>
    </w:p>
    <w:p>
      <w:r>
        <w:t>FR: GE_GERICHTE AC/1683/2012 du 29 avril 2021</w:t>
      </w:r>
    </w:p>
    <w:p>
      <w:r>
        <w:t>IT: GE_GERICHTE AC/1683/2012 del 29 aprile 2021</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Le recours, écrit et motivé, est introduit auprès de l'instance de recours (art. 321 al. 1 CPC) dans un délai de dix jours (art. 321 al. 2 CPC et 11 RAJ). L'avocat commis d'office dispose à titre personnel d'un droit de recours au sujet de la rémunération équitable accordée (ATF 131 V 153 consid. 1; Tappy, Commentaire romand CPC, 2ème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préalablement conclu à pouvoir plaider sa cause en audience publique.</w:t>
      </w:r>
    </w:p>
    <w:p>
      <w:r>
        <w:rPr>
          <w:b/>
        </w:rPr>
        <w:t>E. 2.1</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w:t>
      </w:r>
    </w:p>
    <w:p>
      <w:r>
        <w:rPr>
          <w:b/>
        </w:rPr>
        <w:t>E. 2.2</w:t>
      </w:r>
    </w:p>
    <w:p>
      <w:r>
        <w:t>En l'espèce, dès lors que le recourant a pu pleinement s'exprimer dans son acte de recours et avait eu la possibilité de se déterminer, par une réplique spontanée, sur les déterminations de l'autorité intimée, que le droit d'être entendu n'inclut pas le droit d'être entendu oralement et que le recourant n'indique pas en quoi son audition serait nécessaire, il ne sera pas donné suite à sa conclusion préalable visant à être entendu par la Cour.</w:t>
      </w:r>
    </w:p>
    <w:p>
      <w:r>
        <w:rPr>
          <w:b/>
        </w:rPr>
        <w:t>E. 3</w:t>
      </w:r>
    </w:p>
    <w:p>
      <w:r>
        <w:t>Le recourant ne reproche pas au premier juge d'avoir considéré que l'art. 128 al. 3 CO était applicable à la prescription de la créance en indemnisation de l'avocat nommé d'office, mais d'avoir considéré que seul l'art. 135 CO permettait l'interruption de la prescription à l'exclusion d'autres actes admis en droit administratif ainsi que d'avoir retenu, à titre subsidiaire, qu'il n'avait pas effectué de tels actes.</w:t>
      </w:r>
    </w:p>
    <w:p>
      <w:r>
        <w:rPr>
          <w:b/>
        </w:rPr>
        <w:t>E. 3.1</w:t>
      </w:r>
    </w:p>
    <w:p>
      <w:r>
        <w:t>Le Tribunal fédéral a retenu qu'en l'absence de règle sur la prescription résultant du droit public, la solution consistant, dans les rapports de droit public également, à retenir que les prétentions de l'avocat en rémunération de ses services se prescrivaient par 5 ans dès la fin du mandat du défenseur d'office (art. 128 ch. 3 CO) n'apparaissait pas critiquable. Une telle solution rendait compte de l'analogie existant entre les honoraires de l'avocat dans son activité privée et les indemnités qu'il perçoit de l'Etat en tant que conseil d'office (ATF 6B_1198/2017 du 18 juillet 2018 consid. 6.3.3. et 6.4; 6B_546/2018 du 16 août 2018 consid. 7). De même, la Chambre administrative de la Cour de justice a retenu qu'en l'absence de base légale expresse et d'une règlementation de droit public à laquelle se référer, les règles pertinentes du droit privé devaient être appliquées. Elle a ainsi retenu que dans la mesure où la législation applicable au personnel de la fonction publique ne traitait pas de la question de la prescription des créances en matière d'heures supplémentaires, il convenait de faire référence à l'art. 128 ch. 3 CO qui prévoit qu'en matière de rapports de travail les actions des travailleurs, pour leurs services, se prescrivent par cinq ans ( ATA/1021/2019 du 18 juin 2019 consid. 4a et les références citées). Dans ce même arrêt, la Chambre administrative a toutefois retenu que les conditions d'interruption de la prescription étaient plus souples en droit public que celles prévues par l'art. 135 CO. Il s'agissait de tout acte propre à faire admettre la prétention en question, visant à l'avancement de la procédure et accompli dans une forme adéquate. L'administré interrompait la prescription par toute intervention auprès de l'autorité compétente tendant à faire reconnaître ses droits. D'une manière générale, la prescription était interrompue par tout acte par lequel le créancier faisait valoir sa créance de manière adéquate vis-à-vis du débiteur ( ATA/1021/2019 précité consid. 4b et les références citées). Selon le Tribunal fédéral administratif, si le contenu de la réclamation ne doit pas être soumis à des exigences trop élevées, celle-ci doit toutefois contenir les éléments permettant à l'administration d'identifier pour quels faits l'administré entend interrompre la prescription (ATFA A-1271/211 du 16 août 2011 consid. 4.3.2; Meier, Verjährung und Verwirkung öffentlich-rechtlicher Forderungen, 2013, p. 266).</w:t>
      </w:r>
    </w:p>
    <w:p>
      <w:r>
        <w:rPr>
          <w:b/>
        </w:rPr>
        <w:t>E. 3.2</w:t>
      </w:r>
    </w:p>
    <w:p>
      <w:r>
        <w:t>En l'espèce, c'est à juste titre que le recourant ne conteste pas l'application de l'art. 128 ch. 3 CO dès lors que la législation relative à l'indemnisation des avocats d'office ne contient aucune règle sur la prescription. De même, il ne peut être reproché au premier juge d'avoir laissé la question ouverte s'agissant de savoir si la prescription pouvait non seulement être interrompue par l'un des actes mentionnés à l'art. 135 CO mais également par tout acte propre à faire admettre la prétention en question. En effet, le recourant se contente d'alléguer avoir effectué "plusieurs démarches" ayant interrompu la prescription sans toutefois établir les dates de ces démarches et le contenu de celles-ci. Le seul acte porté à la connaissance des autorités consiste dans la demande du recourant tendant à ce qu'il soit renoncé à la prescription pour l'ensemble des créances qu'il détiendrait à l'encontre de l'ETAT DE GENEVE. Cette demande n'était pas de nature à interrompre la prescription puisque le recourant n'y réclamait pas le paiement de sa créance dans la présente procédure. En outre, si le recourant n'avait pas le temps nécessaire pour dresser la liste des procédures dans lesquelles il entendait interrompre la prescription, cela signifie que le nombre de celles-ci était important. Il ne pouvait ainsi être exigé du greffe de l'assistance juridique qu'il pallie les carences du recourant en dressant la liste de toutes les procédures où il avait été nommé d'office, avant de consulter chacune d'elles pour déterminer si elle avait déjà été taxée, était déjà prescrite ou s'il y avait lieu de considérer que la prescription avait été interrompue. C'est ainsi à juste titre que le premier juge a retenu que le recourant n'avait, quel que soit le type d'acte interruptif retenu, pas interrompu la prescription et qu'il avait déposé son état de frais dans la présente cause une fois la prescription quinquennale déjà acquise. Pour le surplus, le recourant ne rend pas vraisemblable une pratique de l'administration consistant à taxer l'activité d'un avocat d'office après que la prescription a été acquise. Au vu de ce qui précède, le recours, infondé, sera rejeté.</w:t>
      </w:r>
    </w:p>
    <w:p>
      <w:r>
        <w:rPr>
          <w:b/>
        </w:rPr>
        <w:t>E. 4</w:t>
      </w:r>
    </w:p>
    <w:p>
      <w:r>
        <w:t>. 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