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AC/1672/2020 vom 10. Juli 2020</w:t>
      </w:r>
    </w:p>
    <w:p>
      <w:r>
        <w:t>GE Cour de justice, 2020-07-10, FR</w:t>
      </w:r>
    </w:p>
    <w:p>
      <w:r>
        <w:rPr>
          <w:b/>
        </w:rPr>
        <w:t xml:space="preserve">Quelle: </w:t>
      </w:r>
      <w:r>
        <w:t>https://mcp.opencaselaw.ch/entscheid/ge_gerichte_AC_1672_2020</w:t>
      </w:r>
    </w:p>
    <w:p>
      <w:r>
        <w:t>FR: GE_GERICHTE AC/1672/2020 du 10 juillet 2020</w:t>
      </w:r>
    </w:p>
    <w:p>
      <w:r>
        <w:t>IT: GE_GERICHTE AC/1672/2020 del 10 luglio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du recourant relatifs à la prise en charge par ses soins de frais d'écolage pour son fils ainsi que les récépissés de paiement produits à l'appui de ces allégués ne seront pas pris en considération.</w:t>
      </w:r>
    </w:p>
    <w:p>
      <w:r>
        <w:rPr>
          <w:b/>
        </w:rPr>
        <w:t>E. 3</w:t>
      </w:r>
    </w:p>
    <w:p>
      <w:r>
        <w:t>3.1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w:t>
      </w:r>
    </w:p>
    <w:p>
      <w:r>
        <w:rPr>
          <w:b/>
        </w:rPr>
        <w:t>E. 3.2</w:t>
      </w:r>
    </w:p>
    <w:p>
      <w:r>
        <w:t>En l'espèce,les critiques du recourant à l'encontre de la décision entreprise se fondent uniquement sur des allégués et moyens de preuve nouveaux, lesquels sont irrecevables dans le cadre du présent recours et ne peuvent donc être pris en considération. Le recours, infondé, sera en conséquence rejeté. Cela étant, le recourant conserve la possibilité de déposer une nouvelle demande auprès de l'assistance juridique en déposant cette fois-ci l'ensemble des pièces nécessaires à l'établissement de sa situation financière.</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10 juillet 2020 par la Vice-présidente du Tribunal de première instance dans la cause AC/1672/2020.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