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AC/1652/2014 vom 18. August 2014</w:t>
      </w:r>
    </w:p>
    <w:p>
      <w:r>
        <w:t>GE Cour de justice, 2014-08-18, FR</w:t>
      </w:r>
    </w:p>
    <w:p>
      <w:r>
        <w:rPr>
          <w:b/>
        </w:rPr>
        <w:t xml:space="preserve">Quelle: </w:t>
      </w:r>
      <w:r>
        <w:t>https://mcp.opencaselaw.ch/entscheid/ge_gerichte_AC_1652_2014</w:t>
      </w:r>
    </w:p>
    <w:p>
      <w:r>
        <w:t>FR: GE_GERICHTE AC/1652/2014 du 18 août 2014</w:t>
      </w:r>
    </w:p>
    <w:p>
      <w:r>
        <w:t>IT: GE_GERICHTE AC/1652/2014 del 18 agosto 2014</w:t>
      </w:r>
    </w:p>
    <w:p>
      <w:pPr>
        <w:pStyle w:val="Heading2"/>
      </w:pPr>
      <w:r>
        <w:t>Regeste</w:t>
      </w:r>
    </w:p>
    <w:p>
      <w:r>
        <w:t>CHANCES DE SUCCÈS; ACTION EN RESPONSABILITÉ | CPC.117.B; LREC.2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D'après l'art. 2 al. 1 de la loi genevoise sur la responsabilité de l'Etat et des communes (LREC ; RSG A 2 40), l'Etat de Genève et les communes du canton sont tenus de réparer le dommage résultant pour des tiers d'actes illicites commis soit intentionnellement, soit par négligence ou imprudence par leurs fonctionnaires ou agents dans l'accomplissement de leur travail. Celui qui subit une atteinte illicite à sa personnalité a droit à une somme d'argent à titre de réparation morale, pour autant que la gravité de l'atteinte le justifie et que l'auteur ne lui ait pas donné satisfaction autrement (art. 49 CO). En vertu de l'art. 8 CC, chaque partie doit, si la loi ne prescrit le contraire, prouver les faits qu'elle allègue pour en déduire son droit.</w:t>
      </w:r>
    </w:p>
    <w:p>
      <w:r>
        <w:rPr>
          <w:b/>
        </w:rPr>
        <w:t>E. 2.3</w:t>
      </w:r>
    </w:p>
    <w:p>
      <w:r>
        <w:t>En l'espèce, compte tenu des éléments portés à sa connaissance au moment du dépôt de la requête d'assistance juridique, c'est à bon droit que l'Autorité de première instance a retenu que le recourant ne semblait pas être en mesure de prouver les faits allégués, dès lors qu'aucun témoin n'était nommément cité dans les écritures déposées devant le Tribunal de première instance. Les explications du recourant concernant le fait qu'il n'aurait pas eu accès à l'ensemble de son dossier auprès de l'Hospice général ne sont pas convaincantes. Quand bien même il parviendrait à prouver avoir signé un document mettant son bien immobilier en gage aux fins de garantir le remboursement des prestations de l'Hospice général (ce qui paraît conforme à l'art. 12 de la loi sur l'insertion et l'aide sociale individuelle ; LIASI, RSG J 4 04), cela ne suffirait pas, au premier abord, à démontrer ou à rendre vraisemblable qu'il aurait ensuite été contraint par l'Hospice général de mettre ledit bien en vente. En tout état, le recourant n'apporte aucune preuve, même sous l'angle de la vraisemblance, du dommage dont il se prévaut en lien avec le prix de vente de son bien immobilier. En effet, la valeur vénale dudit bien au moment de la vente ne ressort pas du dossier et le potentiel prix de vente futur de celui-ci ne repose que sur les propres estimations du recourant. Par ailleurs, les "maltraitances psychologiques et physiques" alléguées ne sont pas rendues vraisemblables. Enfin, il apparaît de prime abord douteux que les conclusions du recourant tendant à pouvoir bénéficier d'un accompagnement social et de mesures d'insertion professionnelle soient recevables dans le cadre d'une action en responsabilité de l'Etat, étant pour le surplus rappelé qu'il n'existe aucun droit inconditionnel à bénéficier de telles prestations (cf. art. 7 et 42A LIASI). Compte tenu de ce qui précède, c'est à juste titre que le premier juge a refusé d'accorder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août 2014 par le Vice-président du Tribunal civil dans la cause AC/1652/2014.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