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AC/1645/2020 vom 2. Juli 2020</w:t>
      </w:r>
    </w:p>
    <w:p>
      <w:r>
        <w:t>GE Cour de justice, 2020-07-02, FR</w:t>
      </w:r>
    </w:p>
    <w:p>
      <w:r>
        <w:rPr>
          <w:b/>
        </w:rPr>
        <w:t xml:space="preserve">Quelle: </w:t>
      </w:r>
      <w:r>
        <w:t>https://mcp.opencaselaw.ch/entscheid/ge_gerichte_AC_1645_2020</w:t>
      </w:r>
    </w:p>
    <w:p>
      <w:r>
        <w:t>FR: GE_GERICHTE AC/1645/2020 du 2 juillet 2020</w:t>
      </w:r>
    </w:p>
    <w:p>
      <w:r>
        <w:t>IT: GE_GERICHTE AC/1645/2020 del 2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nombreux allégués de faits dont les recourants n'ont pas fait état en première instance ne seront pas pris en considération.</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L'assistance d'un conseil juridique peut déjà être accordée pour la préparation du procès (art. 118 al. 1 let. c 2 ème phrase).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 La question de savoir si l'affaire présente des difficultés de fait ou de droit auxquelles le requérant ne peut faire face seul doit par ailleurs être examinée de manière subjective, en fonction des connaissances et des capacités de ce dernier (Wuffli/Fuhrer, op. cit. , p. 172, n. 490 et p. 177, n. 505 et les réf. citées). Lorsque la procédure porte sur l'exercice du droit de visite, il est rare que l'état de fait soit à tel point complexe que l'assistance d'un conseil juridique se justifie (Wuffli/Fuhrer, op. cit ., p. 174, note de bas de page 725).</w:t>
      </w:r>
    </w:p>
    <w:p>
      <w:r>
        <w:rPr>
          <w:b/>
        </w:rPr>
        <w:t>E. 3.2</w:t>
      </w:r>
    </w:p>
    <w:p>
      <w:r>
        <w:t>En l'espèce, lors du dépôt de leur requête devant l'autorité de première instance, les recourants n'ont fourni aucune information spécifique au sujet des démarches envisagées, en particulier concernant les éventuelles difficultés qu'ils pourraient rencontrer. Quand bien même l'aide étatique pourrait être accordée dans certains cas en vue de la préparation d'un procès, il n'en demeure pas moins que le simple fait de demander des renseignements au SPMi ne nécessite pas l'assistance d'un avocat. Par ailleurs, la procédure que les recourants souhaitent engager devant le TPAE, qui est régie par la maxime d'office, ne semble pas poser de difficultés telles que l'assistance d'un avocat soit nécessaire. En effet, sur le plan factuel, le TPAE pourra procéder à toutes les mesures probatoires utiles pour établir les faits pertinents, y compris solliciter une évaluation du service précité. Par ailleurs, les questions juridiques à résoudre sont limitées à la fixation d'un droit de visite et ne nécessitent pas de connaissances particulières, contrairement à ce que font valoir les recourants. A noter que pour se renseigner au sujet de l'autorité genevoise compétente pour connaître de leur demande, les recourants auraient pu s'adresser à un organisme à vocation sociale. Compte tenu des faits portés à la connaissance de l'autorité de première instance, c'est à juste titre qu'elle a considéré que la désignation d'un avocat rémunéré par l'Etat ne se justifiait pas. Pour le surplus, au vu de l'incertitude au sujet du moment auquel les recourants vont effectivement déposer une demande devant le TPAE (et sur la question de savoir s'ils vont réellement entreprendre des démarches en vue de revoir leur fille, puisque cela avait été déjà été évoqué en 2008 et 2011, sans que cela n'ait été suivi d'effets) et du fait que leur situation financière - qui est susceptible d'évoluer dans le temps - doit être examinée au moment où leurs démarches seront entreprises, l'autorité de première instance n'a pas violé le droit en refusant d'octroyer, à ce stade, l'assistance juridique limitée à la prise en charge des frais judiciaires. A noter que c'est justement parce que la procédure en fixation du droit de visite n'est pas gratuite à Genève que la Vice-présidente du Tribunal de première instance a mentionné la possibilité de déposer une nouvelle requête d'assistance juridique une fois que la demande aura été déposée devant le TPAE. Partant, le recours, infondé, sera rejeté. Pour le surplus, l'instance de recours n'est pas compétente pour statuer sur la requête d'assistance juridique formée par les recourants pour la présente procédure de recours (cf. art. 1 RAJ).</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et B______ contre la décision rendue le 2 juillet 2020 par la Vice-présidente du Tribunal de première instance dans la cause AC/1645/2020. Au fond : Le rejette. Déboute A______ et B______ de toutes autres conclusions. Dit qu'il n'est pas perçu de frais judiciaires pour le recours. Notifie une copie de la présente décision à A______ et B______ en l'Étude de M e H______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