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AC/1640/2013 vom 15. Juli 2013</w:t>
      </w:r>
    </w:p>
    <w:p>
      <w:r>
        <w:t>GE Cour de justice, 2013-07-15, FR</w:t>
      </w:r>
    </w:p>
    <w:p>
      <w:r>
        <w:rPr>
          <w:b/>
        </w:rPr>
        <w:t xml:space="preserve">Quelle: </w:t>
      </w:r>
      <w:r>
        <w:t>https://mcp.opencaselaw.ch/entscheid/ge_gerichte_AC_1640_2013</w:t>
      </w:r>
    </w:p>
    <w:p>
      <w:r>
        <w:t>FR: GE_GERICHTE AC/1640/2013 du 15 juillet 2013</w:t>
      </w:r>
    </w:p>
    <w:p>
      <w:r>
        <w:t>IT: GE_GERICHTE AC/1640/2013 del 15 luglio 2013</w:t>
      </w:r>
    </w:p>
    <w:p>
      <w:pPr>
        <w:pStyle w:val="Heading2"/>
      </w:pPr>
      <w:r>
        <w:t>Regeste</w:t>
      </w:r>
    </w:p>
    <w:p>
      <w:r>
        <w:t>PROCÉDURE ADMINISTRATIVE; REPRÉSENTATION EN PROCÉDURE; AVOCAT D'OFFICE | LPA.10; RAJ.12; LaCC.15; CPC.68.2.B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w:t>
      </w:r>
    </w:p>
    <w:p>
      <w:r>
        <w:rPr>
          <w:b/>
        </w:rPr>
        <w:t>E. 2.1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![endif]&gt;![if&gt;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 Selon l'art. 10 al. 4 LPA, les dispositions réglementaires édictées par le Conseil d’Etat en matière d’assistance juridique s’appliquent pour le surplus.</w:t>
      </w:r>
    </w:p>
    <w:p>
      <w:r>
        <w:rPr>
          <w:b/>
        </w:rPr>
        <w:t>E. 2.2</w:t>
      </w:r>
    </w:p>
    <w:p>
      <w:r>
        <w:t>Dans le règlement sur l'assistance juridique et l'indemnisation des conseils juridiques et défenseurs d'office en matière civile, administrative et pénale, entré en vigueur le 1er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2.3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la recourante dans le cadre de son recours auprès de la CACJ. Cela étant, la décision entreprise n'a ni examiné si la recourante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15 juillet 2013 par la Vice-présidente du Tribunal civil dans la cause AC/1640/2013.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représentée par l'ASLOCA (art. 137 CPC). Siégeant : Madame Marguerite JACOT-DES-COMBES, vice-présidente ; Madame Blerta TOLAJ, commise-greffière.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