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AC/1630/2016 vom 29. Juni 2016</w:t>
      </w:r>
    </w:p>
    <w:p>
      <w:r>
        <w:t>GE Cour de justice, 2016-06-29, FR</w:t>
      </w:r>
    </w:p>
    <w:p>
      <w:r>
        <w:rPr>
          <w:b/>
        </w:rPr>
        <w:t xml:space="preserve">Quelle: </w:t>
      </w:r>
      <w:r>
        <w:t>https://mcp.opencaselaw.ch/entscheid/ge_gerichte_AC_1630_2016</w:t>
      </w:r>
    </w:p>
    <w:p>
      <w:r>
        <w:t>FR: GE_GERICHTE AC/1630/2016 du 29 juin 2016</w:t>
      </w:r>
    </w:p>
    <w:p>
      <w:r>
        <w:t>IT: GE_GERICHTE AC/1630/2016 del 29 giugno 2016</w:t>
      </w:r>
    </w:p>
    <w:p>
      <w:pPr>
        <w:pStyle w:val="Heading2"/>
      </w:pPr>
      <w:r>
        <w:t>Regeste</w:t>
      </w:r>
    </w:p>
    <w:p>
      <w:r>
        <w:t>NÉCESSITÉ; AVOCAT; PROTECTION DE L'UNION CONJUGALE</w:t>
      </w:r>
    </w:p>
    <w:p>
      <w:pPr>
        <w:pStyle w:val="Heading2"/>
      </w:pPr>
      <w:r>
        <w:t>Erwägungen</w:t>
      </w:r>
    </w:p>
    <w:p>
      <w:r>
        <w:rPr>
          <w:b/>
        </w:rPr>
        <w:t>E. 1.1</w:t>
      </w:r>
    </w:p>
    <w:p>
      <w:r>
        <w:t>La décision entreprise est sujette à recours auprès du président de la Cour de justice en tant qu'elle refuse partiellement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conclusions, les allégations de faits et les preuves nouvelles sont irrecevables dans le cadre d'un recours (art. 326 al. 1 CPC). Par conséquent, les allégués de faits nouveaux – possession d'une société en commun des époux, bien immobilier en copropriété comprenant des emprunts, autre époux représenté par un avocat – ne seront pas pris en considération. La conclusion nouvelle de la recourante tendant à ce que l'assistance juridique lui soit accordée pour le dépôt d'une requête unilatérale en divorce sera déclarée irrecevable puisqu'elle ne l'a pas sollicitée devant le Tribunal, écartant cette hypothèse eu égard à l'absence des deux ans de séparation des époux.</w:t>
      </w:r>
    </w:p>
    <w:p>
      <w:r>
        <w:rPr>
          <w:b/>
        </w:rPr>
        <w:t>E. 3</w:t>
      </w:r>
    </w:p>
    <w:p>
      <w:r>
        <w:t>La recourante reproche au premier juge d'avoir considéré que l'assistance d'un avocat ne lui était pas nécessaire. 3.1.1. Toute personne qui ne dispose pas de ressources suffisantes a droit à l'assistance judiciaire à moins que sa cause paraisse dépourvue de toute chance de succès (art. 117 CPC ; art. 29 al. 3 Cst.).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etc. Enfin, la loi mentionne l'hypothèse où la partie adverse est assistée d'un avocat, accordant ainsi une importance particulière au principe de l'égalité des armes (arrêt du Tribunal fédéral 5A_838/2013 du 3 février 2014 consid. 2.4 et les références citées). 3.1.2. Les mesures protectrices de l'union conjugale sont soumises à la procédure sommaire (art. 271 let. a CPC), laquelle est introduite par une requête en justice qui prend la forme d'un document écrit, signé par la partie, énonçant la désignation des parties, les conclusions (le requérant indique ce qu'il veut) et la description de l'objet du litige (Tappy, in Code de procédure civile commenté, 2011, n. 2 à 7 ad art. 252 CPC). Le Tribunal établit les faits d'office (art. 272 CPC) et tente de trouver un accord entre les parties (art. 273 al. 3 CPC).</w:t>
      </w:r>
    </w:p>
    <w:p>
      <w:r>
        <w:rPr>
          <w:b/>
        </w:rPr>
        <w:t>E. 3.2</w:t>
      </w:r>
    </w:p>
    <w:p>
      <w:r>
        <w:t>En l'espèce, lorsqu'elle a déposé sa requête d'assistance juridique, la recourante s'est contentée de déclarer qu'elle entendait déposer une requête commune en divorce ou requérir des mesures protectrices de l'union conjugale, sans toutefois apporter de précisions relatives à sa situation personnelle et familiale. Compte tenu des quelques éléments figurant au dossier, soit que les époux étaient séparés depuis avril 2015 et qu'ils n'avaient pas d'enfant, le Vice-président du Tribunal civil pouvait, sans consacrer d'arbitraire, considérer que la situation familiale de la recourante ne présentait pas de difficultés particulières et que l'assistance d'un avocat n'était donc pas nécessaire pour requérir des mesures protectrices de l'union conjugale. La recourante n'a pas contesté parler français et être en mesure d'écrire un courrier au Tribunal afin de lui expliquer qu'elle désire vivre séparée de son époux et obtenir une contribution à son entretien. Il importe peu qu'il existe plusieurs méthodes de calcul relatives aux obligations d'entretien dès lors que le juge applique le droit d'office.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14 juillet 2016 par A______ contre la décision rendue le 29 juin 2016 par le Vice-président du Tribunal civil dans la cause AC/1630/2016. Le déclare irrecevable en tant que A______ conclut à ce que l'assistance juridique lui soit accordée pour le dépôt d'une demande unilatérale en divorce. Au fond : Le rejette. Déboute A______ de toutes autres conclusions. Dit qu'il n'est pas perçu de frais judiciaires pour le recours. Notifie une copie de la présente décision à A______ en l'Étude de M e Mitra SOHRABI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