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AC/1624/2013 vom 15. Juli 2013</w:t>
      </w:r>
    </w:p>
    <w:p>
      <w:r>
        <w:t>GE Cour de justice, 2013-07-15, FR</w:t>
      </w:r>
    </w:p>
    <w:p>
      <w:r>
        <w:rPr>
          <w:b/>
        </w:rPr>
        <w:t xml:space="preserve">Quelle: </w:t>
      </w:r>
      <w:r>
        <w:t>https://mcp.opencaselaw.ch/entscheid/ge_gerichte_AC_1624_2013</w:t>
      </w:r>
    </w:p>
    <w:p>
      <w:r>
        <w:t>FR: GE_GERICHTE AC/1624/2013 du 15 juillet 2013</w:t>
      </w:r>
    </w:p>
    <w:p>
      <w:r>
        <w:t>IT: GE_GERICHTE AC/1624/2013 del 15 luglio 2013</w:t>
      </w:r>
    </w:p>
    <w:p>
      <w:pPr>
        <w:pStyle w:val="Heading2"/>
      </w:pPr>
      <w:r>
        <w:t>Regeste</w:t>
      </w:r>
    </w:p>
    <w:p>
      <w:r>
        <w:t>PROCÉDURE ADMINISTRATIVE; REPRÉSENTATION EN PROCÉDURE; AVOCAT D'OFFICE | LPA.10; RAJ.12; LaCC.15; CPC.68.2.B</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à la vice-présidente soussignée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la recourante, celle-ci ne le sollicitant pas et le dossier contenant suffisamment d'éléments pour statuer.</w:t>
      </w:r>
    </w:p>
    <w:p>
      <w:r>
        <w:rPr>
          <w:b/>
        </w:rPr>
        <w:t>E. 2</w:t>
      </w:r>
    </w:p>
    <w:p>
      <w:r>
        <w:t>À teneur l'art. 326 al. 1 CPC, les conclusions et les allégations de faits nouvelles sont irrecevables dans le cadre d'une procédure de recours.![endif]&gt;![if&gt; Par conséquent, les pièces nouvelles ne seront pas prises en considération.</w:t>
      </w:r>
    </w:p>
    <w:p>
      <w:r>
        <w:rPr>
          <w:b/>
        </w:rPr>
        <w:t>E. 3.1</w:t>
      </w:r>
    </w:p>
    <w:p>
      <w:r>
        <w:t>Aux termes de l'art. 9 de la loi sur la procédure administrative (ci-après : LPA ; entrée en vigueur le 1er janvier 1986),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![endif]&gt;![if&gt; Par ailleurs, d'après l'art. 10 al. 1 et 2 LPA, les avocats sont tenus, lorsqu’ils en sont requis, de représenter dans une procédure contentieuse portée devant une juridiction administrative une partie dont les revenus ou la fortune ne sont pas suffisants pour couvrir les frais d’une procédure.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Certes, l'art. 53 de l'ancien code de procédure administrative du 6 décembre 1968 prévoyait que les mandataires professionnellement qualifiés "inscrits au tableau" étaient également soumis à l'obligation d'accepter une défense d'office. Toutefois, cette extension a été supprimée par la suite, car un tel tableau des mandataires qualifiés n'avait jamais pu être élaboré et, finalement, un avocat présentait des garanties, sinon de bonne exécution de son mandat, du moins de connaissances de la portée de ses devoirs et obligations, qui ne pouvaient être exigées d'un autre mandataire (Mémorial des séances du Grand Conseil, 1968 p. 3027 et 3114-3115, 1978 p. 2364). Du reste, le commentaire du projet de loi prévoyant cette suppression indiquait expressément que celle-ci revenait à conférer un monopole aux avocats dans le domaine de l'assistance juridique (Mémorial, 1968 p. 1229-1230). D'après la jurisprudence, le fait qu'un plaideur puisse mandater à titre privé un avocat non inscrit au tableau pour le représenter devant les tribunaux dans les domaines qui échappent au monopole des avocats inscrits ne signifie pas, à lui seul, qu'un tel avocat puisse être nommé d'office (SJ 1998 p. 189 consid. 2c).</w:t>
      </w:r>
    </w:p>
    <w:p>
      <w:r>
        <w:rPr>
          <w:b/>
        </w:rPr>
        <w:t>E. 3.2</w:t>
      </w:r>
    </w:p>
    <w:p>
      <w:r>
        <w:t>Selon l'art. 10 al. 4 LPA, les dispositions réglementaires édictées par le Conseil d’Etat en matière d’assistance juridique s’appliquent pour le surplus. Dans le règlement sur l'assistance juridique et l'indemnisation des conseils juridiques et défenseurs d'office en matière civile, administrative et pénale, entré en vigueur le 1er janvier 2011, le conseil juridique peut être un avocat ou un mandataire professionnellement qualifié au sens de l'article 10 de la loi d’application du code civil suisse et autres lois fédérales en matière civile, du 28 novembre 2010 (art. 12 RAJ). La LaCC du 28 novembre 2010 a été abrogée, de sorte que le renvoi de l'art. 12 RAJ doit être compris comme un renvoi à l'art. 15 de la nouvelle LaCC (cf. dispositions transitoires de la LaCC), entrée en vigueur le 1er janvier 2013, qui dispose que les mandataires professionnellement qualifiés peuvent assister ou représenter les parties devant la commission de conciliation en matière de baux et loyers, le Tribunal des baux et loyers et le Tribunal des prud’hommes, ainsi que devant la chambre des baux et loyers et la chambre des prud’hommes de la Cour de justice. L'art. 15 LaCC fait lui-même implicitement référence à l'art. 68 al. 2 let. d CPC, lequel autorise les mandataires professionnellement qualifiés à représenter les parties à titre professionnel devant les juridictions spéciales en matière de contrat de bail et de contrat de travail.</w:t>
      </w:r>
    </w:p>
    <w:p>
      <w:r>
        <w:rPr>
          <w:b/>
        </w:rPr>
        <w:t>E. 3.3</w:t>
      </w:r>
    </w:p>
    <w:p>
      <w:r>
        <w:t>En l'espèce, l'art. 10 LPA, qui traite de l'assistance juridique en matière administrative, ne mentionne que les avocats, à l'exclusion, notamment, des mandataires professionnellement qualifiés. Le législateur a ainsi consciemment fait le choix d'exclure ces derniers des conseils juridiques tenus d'accepter une défense d'office, quand bien même ils ont la possibilité de représenter un justiciable devant les autorités administratives. Rien ne permet de retenir un oubli du législateur. En effet, le CPC entré en vigueur en janvier 2011 a également conduit à l'adoption d'un nouveau règlement sur l'assistance juridique, entré en vigueur à la même date, lequel s'applique aussi bien en matière civile, administrative que pénale. Le fait que l'art. 12 RAJ fasse expressément référence aux mandataires professionnellement qualifiés prévus par la LaCC confirme que les mandataires professionnellement qualifiés autorisés à représenter un justiciable devant les autorités administratives ne peuvent être nommés d'office. En l'absence de contradiction entre les art. 10 LPA et 12 RAJ, il y a lieu de retenir que les considérations ayant mené à la suppression des mandataires professionnellement qualifiés dans la liste des conseils juridiques tenus d'accepter une défense d'office dans le cadre d'une procédure administrative restent valables. Il n'est donc pas déraisonnable d'admettre que seuls les avocats peuvent être désignés d'office dans le cadre d'une procédure administrative. C'est donc à juste titre que le premier juge a retenu que l'ASLOCA, en tant que mandataire professionnellement qualifié, ne pouvait être nommée d'office pour représenter la recourante dans le cadre de son recours auprès de la CACJ. Cela étant, la décision entreprise n'a ni examiné si la recourante remplissait la condition de l'indigence, ni les chances de succès du recours formé auprès de la CACJ. Ces deux conditions devant être réunies pour un éventuel octroi partiel de l'assistance juridique, la cause sera renvoyée au premier juge pour instruction complémentaire et nouvelle décision au sens des considérants. Partant, le recours sera partiellement admis.</w:t>
      </w:r>
    </w:p>
    <w:p>
      <w:r>
        <w:rPr>
          <w:b/>
        </w:rPr>
        <w:t>E. 4</w:t>
      </w:r>
    </w:p>
    <w:p>
      <w:r>
        <w:t>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 15 juillet 2013 par la Vice-présidente du Tribunal civil dans la cause AC/1624/2013. Au fond : Admet partiellement le recours. Cela fait : Renvoie la cause à la Vice-présidente du Tribunal civil pour complément d'instruction et nouvelle décision au sens des considérants. Déboute A______ de toutes autres conclusions. Dit qu'il n'est pas perçu de frais judiciaires. Notifie une copie de la présente décision à A______, représentée par l'ASLOCA (art. 137 CPC). Siégeant : Madame Marguerite JACOT-DES-COMBES, vice-présidente ; Madame Blerta TOLAJ, commise-greffière. Indication des voies de recours : Conformément aux art. 82 ss de la loi fédérale sur le Tribunal fédéral du 17 juin 2005 (LTF :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